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D4E7E9" w14:textId="28BDA95F" w:rsidR="00CD2FCB" w:rsidRPr="00621C87" w:rsidRDefault="00621C87" w:rsidP="00CD2FCB">
      <w:pPr>
        <w:rPr>
          <w:b/>
        </w:rPr>
      </w:pPr>
      <w:bookmarkStart w:id="0" w:name="_GoBack"/>
      <w:bookmarkEnd w:id="0"/>
      <w:r w:rsidRPr="00265630">
        <w:rPr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094BCB2" wp14:editId="2A15892B">
            <wp:simplePos x="0" y="0"/>
            <wp:positionH relativeFrom="column">
              <wp:posOffset>5829300</wp:posOffset>
            </wp:positionH>
            <wp:positionV relativeFrom="paragraph">
              <wp:posOffset>-217170</wp:posOffset>
            </wp:positionV>
            <wp:extent cx="1278890" cy="786765"/>
            <wp:effectExtent l="0" t="0" r="0" b="635"/>
            <wp:wrapSquare wrapText="bothSides"/>
            <wp:docPr id="2" name="Picture 2" descr="Macintish HD:Users:sydneybrown:Desktop:AT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ish HD:Users:sydneybrown:Desktop:ATD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FCB" w:rsidRPr="00265630">
        <w:rPr>
          <w:b/>
          <w:sz w:val="16"/>
          <w:szCs w:val="16"/>
        </w:rPr>
        <w:t>From</w:t>
      </w:r>
      <w:r w:rsidR="00CD2FCB" w:rsidRPr="000B48C7">
        <w:rPr>
          <w:sz w:val="16"/>
          <w:szCs w:val="16"/>
        </w:rPr>
        <w:t xml:space="preserve">: </w:t>
      </w:r>
      <w:r w:rsidR="00F816DC" w:rsidRPr="000B48C7">
        <w:rPr>
          <w:sz w:val="16"/>
          <w:szCs w:val="16"/>
        </w:rPr>
        <w:tab/>
      </w:r>
      <w:r w:rsidR="00F816DC" w:rsidRPr="000B48C7">
        <w:rPr>
          <w:sz w:val="16"/>
          <w:szCs w:val="16"/>
        </w:rPr>
        <w:tab/>
      </w:r>
      <w:r w:rsidR="00CD2FCB" w:rsidRPr="000B48C7">
        <w:rPr>
          <w:sz w:val="16"/>
          <w:szCs w:val="16"/>
        </w:rPr>
        <w:t xml:space="preserve">Lida Rafia, Associate Dean of Student Success and Equity </w:t>
      </w:r>
      <w:r w:rsidR="00C75F7B" w:rsidRPr="000B48C7">
        <w:rPr>
          <w:sz w:val="16"/>
          <w:szCs w:val="16"/>
        </w:rPr>
        <w:tab/>
      </w:r>
      <w:r w:rsidR="00C75F7B" w:rsidRPr="000B48C7">
        <w:rPr>
          <w:sz w:val="16"/>
          <w:szCs w:val="16"/>
        </w:rPr>
        <w:tab/>
      </w:r>
    </w:p>
    <w:p w14:paraId="29D1B39B" w14:textId="2BACB986" w:rsidR="00CD2FCB" w:rsidRPr="000B48C7" w:rsidRDefault="00CD2FCB" w:rsidP="00CD2FCB">
      <w:pPr>
        <w:rPr>
          <w:sz w:val="16"/>
          <w:szCs w:val="16"/>
        </w:rPr>
      </w:pPr>
      <w:r w:rsidRPr="000B48C7">
        <w:rPr>
          <w:sz w:val="16"/>
          <w:szCs w:val="16"/>
        </w:rPr>
        <w:tab/>
      </w:r>
      <w:r w:rsidR="00F816DC" w:rsidRPr="000B48C7">
        <w:rPr>
          <w:sz w:val="16"/>
          <w:szCs w:val="16"/>
        </w:rPr>
        <w:tab/>
      </w:r>
      <w:r w:rsidRPr="000B48C7">
        <w:rPr>
          <w:sz w:val="16"/>
          <w:szCs w:val="16"/>
        </w:rPr>
        <w:t>Tate Hurvitz, Academic Senate President</w:t>
      </w:r>
    </w:p>
    <w:p w14:paraId="04AAA139" w14:textId="16CF06EE" w:rsidR="00CD2FCB" w:rsidRDefault="000B48C7" w:rsidP="00CD2FCB">
      <w:pPr>
        <w:rPr>
          <w:sz w:val="16"/>
          <w:szCs w:val="16"/>
        </w:rPr>
      </w:pPr>
      <w:r w:rsidRPr="00265630">
        <w:rPr>
          <w:b/>
          <w:sz w:val="16"/>
          <w:szCs w:val="16"/>
        </w:rPr>
        <w:t>Prepared F</w:t>
      </w:r>
      <w:r w:rsidR="00F816DC" w:rsidRPr="00265630">
        <w:rPr>
          <w:b/>
          <w:sz w:val="16"/>
          <w:szCs w:val="16"/>
        </w:rPr>
        <w:t>or</w:t>
      </w:r>
      <w:r w:rsidR="00F816DC" w:rsidRPr="000B48C7">
        <w:rPr>
          <w:sz w:val="16"/>
          <w:szCs w:val="16"/>
        </w:rPr>
        <w:t xml:space="preserve">: </w:t>
      </w:r>
      <w:r w:rsidR="00F816DC" w:rsidRPr="000B48C7">
        <w:rPr>
          <w:sz w:val="16"/>
          <w:szCs w:val="16"/>
        </w:rPr>
        <w:tab/>
      </w:r>
      <w:r w:rsidRPr="000B48C7">
        <w:rPr>
          <w:sz w:val="16"/>
          <w:szCs w:val="16"/>
        </w:rPr>
        <w:t>Achieve the</w:t>
      </w:r>
      <w:r w:rsidR="008C0042">
        <w:rPr>
          <w:sz w:val="16"/>
          <w:szCs w:val="16"/>
        </w:rPr>
        <w:t xml:space="preserve"> Dream (ATD) Planning Committee, 12/11/2015</w:t>
      </w:r>
    </w:p>
    <w:p w14:paraId="0D0FE21F" w14:textId="77777777" w:rsidR="00B7794F" w:rsidRPr="00B7794F" w:rsidRDefault="00B7794F" w:rsidP="00CD2FCB">
      <w:pPr>
        <w:rPr>
          <w:sz w:val="16"/>
          <w:szCs w:val="16"/>
        </w:rPr>
      </w:pPr>
    </w:p>
    <w:p w14:paraId="0E189498" w14:textId="77777777" w:rsidR="00621C87" w:rsidRDefault="00621C87" w:rsidP="00621C87">
      <w:pPr>
        <w:jc w:val="center"/>
        <w:rPr>
          <w:b/>
          <w:sz w:val="24"/>
          <w:szCs w:val="24"/>
        </w:rPr>
      </w:pPr>
    </w:p>
    <w:p w14:paraId="32CDDACE" w14:textId="77777777" w:rsidR="00395EFD" w:rsidRPr="00395EFD" w:rsidRDefault="00395EFD" w:rsidP="00621C87">
      <w:pPr>
        <w:jc w:val="center"/>
        <w:rPr>
          <w:rFonts w:ascii="Arial Black" w:hAnsi="Arial Black"/>
          <w:sz w:val="10"/>
          <w:szCs w:val="10"/>
        </w:rPr>
      </w:pPr>
    </w:p>
    <w:p w14:paraId="20F7C42D" w14:textId="77777777" w:rsidR="00C75F7B" w:rsidRPr="00E17DCC" w:rsidRDefault="00C75F7B" w:rsidP="00621C87">
      <w:pPr>
        <w:jc w:val="center"/>
        <w:rPr>
          <w:rFonts w:ascii="Arial Black" w:hAnsi="Arial Black"/>
          <w:sz w:val="24"/>
          <w:szCs w:val="24"/>
        </w:rPr>
      </w:pPr>
      <w:r w:rsidRPr="00E17DCC">
        <w:rPr>
          <w:rFonts w:ascii="Arial Black" w:hAnsi="Arial Black"/>
          <w:sz w:val="24"/>
          <w:szCs w:val="24"/>
        </w:rPr>
        <w:t>GROSSMONT COLLEGE CAMPUS WIDE ALIGNMENT EFFORTS:</w:t>
      </w:r>
    </w:p>
    <w:p w14:paraId="5C2DBC3A" w14:textId="282678AA" w:rsidR="009E477D" w:rsidRPr="00B463ED" w:rsidRDefault="001967F7" w:rsidP="00621C87">
      <w:pPr>
        <w:jc w:val="center"/>
        <w:rPr>
          <w:rFonts w:ascii="Arial Black" w:hAnsi="Arial Black"/>
          <w:sz w:val="24"/>
          <w:szCs w:val="24"/>
        </w:rPr>
      </w:pPr>
      <w:r w:rsidRPr="00B463ED">
        <w:rPr>
          <w:rFonts w:ascii="Arial Black" w:hAnsi="Arial Black"/>
          <w:sz w:val="24"/>
          <w:szCs w:val="24"/>
        </w:rPr>
        <w:t>HIGH-LEVERAGE LIST</w:t>
      </w:r>
      <w:r w:rsidR="000B48C7" w:rsidRPr="00B463ED">
        <w:rPr>
          <w:rFonts w:ascii="Arial Black" w:hAnsi="Arial Black"/>
          <w:b/>
          <w:sz w:val="24"/>
          <w:szCs w:val="24"/>
        </w:rPr>
        <w:t xml:space="preserve"> </w:t>
      </w:r>
      <w:r w:rsidR="00AD397D" w:rsidRPr="00B463ED">
        <w:rPr>
          <w:rFonts w:ascii="Arial Black" w:hAnsi="Arial Black"/>
          <w:color w:val="FFFFFF" w:themeColor="background1"/>
          <w:sz w:val="24"/>
          <w:szCs w:val="24"/>
          <w:highlight w:val="black"/>
        </w:rPr>
        <w:t>4</w:t>
      </w:r>
      <w:r w:rsidR="00AD397D" w:rsidRPr="00B463ED">
        <w:rPr>
          <w:rFonts w:ascii="Arial Black" w:hAnsi="Arial Black"/>
          <w:color w:val="FFFFFF" w:themeColor="background1"/>
          <w:sz w:val="24"/>
          <w:szCs w:val="24"/>
          <w:highlight w:val="black"/>
          <w:vertAlign w:val="superscript"/>
        </w:rPr>
        <w:t>th</w:t>
      </w:r>
      <w:r w:rsidR="00AD397D" w:rsidRPr="00B463ED">
        <w:rPr>
          <w:rFonts w:ascii="Arial Black" w:hAnsi="Arial Black"/>
          <w:color w:val="FFFFFF" w:themeColor="background1"/>
          <w:sz w:val="24"/>
          <w:szCs w:val="24"/>
          <w:highlight w:val="black"/>
        </w:rPr>
        <w:t xml:space="preserve"> DRAFT</w:t>
      </w:r>
    </w:p>
    <w:p w14:paraId="619ADAA7" w14:textId="66EFE85F" w:rsidR="006A4060" w:rsidRPr="006A4060" w:rsidRDefault="00015CC2" w:rsidP="009E477D">
      <w:pPr>
        <w:jc w:val="center"/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870104" wp14:editId="31804161">
            <wp:simplePos x="0" y="0"/>
            <wp:positionH relativeFrom="page">
              <wp:posOffset>480060</wp:posOffset>
            </wp:positionH>
            <wp:positionV relativeFrom="page">
              <wp:posOffset>2080260</wp:posOffset>
            </wp:positionV>
            <wp:extent cx="685800" cy="944245"/>
            <wp:effectExtent l="0" t="0" r="0" b="0"/>
            <wp:wrapSquare wrapText="bothSides"/>
            <wp:docPr id="3" name="Picture 3" descr="Macintish HD:Users:sydneybrown:Desktop:GC Logo Colo 300 dpi 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ish HD:Users:sydneybrown:Desktop:GC Logo Colo 300 dpi 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2333" b="97333" l="35048" r="66714">
                                  <a14:foregroundMark x1="42333" y1="51083" x2="42333" y2="510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5" t="39840" r="36624" b="6130"/>
                    <a:stretch/>
                  </pic:blipFill>
                  <pic:spPr bwMode="auto">
                    <a:xfrm>
                      <a:off x="0" y="0"/>
                      <a:ext cx="68580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613" w:tblpY="3061"/>
        <w:tblW w:w="11412" w:type="dxa"/>
        <w:tblLayout w:type="fixed"/>
        <w:tblLook w:val="04A0" w:firstRow="1" w:lastRow="0" w:firstColumn="1" w:lastColumn="0" w:noHBand="0" w:noVBand="1"/>
      </w:tblPr>
      <w:tblGrid>
        <w:gridCol w:w="1518"/>
        <w:gridCol w:w="1434"/>
        <w:gridCol w:w="1594"/>
        <w:gridCol w:w="1379"/>
        <w:gridCol w:w="1704"/>
        <w:gridCol w:w="2014"/>
        <w:gridCol w:w="1769"/>
      </w:tblGrid>
      <w:tr w:rsidR="00621C87" w14:paraId="24AB7495" w14:textId="77777777" w:rsidTr="00395EFD">
        <w:trPr>
          <w:trHeight w:val="160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33DB" w14:textId="77777777" w:rsidR="00C75F7B" w:rsidRDefault="00C75F7B" w:rsidP="00395EFD">
            <w:pPr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A8FD59" w14:textId="77777777" w:rsidR="00C75F7B" w:rsidRPr="002A7313" w:rsidRDefault="00C75F7B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Outreach</w:t>
            </w:r>
          </w:p>
          <w:p w14:paraId="690C2049" w14:textId="77777777" w:rsidR="000B48C7" w:rsidRDefault="000B48C7" w:rsidP="00395E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(i.e., </w:t>
            </w:r>
            <w:r w:rsidR="00C75F7B" w:rsidRPr="000B48C7">
              <w:rPr>
                <w:rFonts w:eastAsia="Times New Roman"/>
                <w:sz w:val="16"/>
                <w:szCs w:val="16"/>
              </w:rPr>
              <w:t xml:space="preserve">high school, community, international, </w:t>
            </w:r>
          </w:p>
          <w:p w14:paraId="113F9260" w14:textId="77777777" w:rsidR="000B48C7" w:rsidRDefault="000B48C7" w:rsidP="00395E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business,</w:t>
            </w:r>
          </w:p>
          <w:p w14:paraId="4EDF1808" w14:textId="0810FDF0" w:rsidR="00C75F7B" w:rsidRPr="000B48C7" w:rsidRDefault="00C75F7B" w:rsidP="00395EFD">
            <w:pPr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0B48C7">
              <w:rPr>
                <w:rFonts w:eastAsia="Times New Roman"/>
                <w:sz w:val="16"/>
                <w:szCs w:val="16"/>
              </w:rPr>
              <w:t>partnerships</w:t>
            </w:r>
            <w:r w:rsidR="002A7313">
              <w:rPr>
                <w:rFonts w:eastAsia="Times New Roman"/>
                <w:sz w:val="16"/>
                <w:szCs w:val="16"/>
              </w:rPr>
              <w:t>, recruitment</w:t>
            </w:r>
            <w:r w:rsidRPr="000B48C7">
              <w:rPr>
                <w:rFonts w:eastAsia="Times New Roman"/>
                <w:sz w:val="16"/>
                <w:szCs w:val="16"/>
              </w:rPr>
              <w:t>)</w:t>
            </w:r>
          </w:p>
          <w:p w14:paraId="5FA9DCB9" w14:textId="77777777" w:rsidR="00C75F7B" w:rsidRPr="000B48C7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12857BAD" w14:textId="5EAF948B" w:rsidR="008650BF" w:rsidRDefault="004B15FE" w:rsidP="00395EF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Onboarding</w:t>
            </w:r>
            <w:r w:rsidR="00C75F7B" w:rsidRPr="002A7313">
              <w:rPr>
                <w:rFonts w:eastAsia="Times New Roman"/>
                <w:sz w:val="24"/>
                <w:szCs w:val="24"/>
              </w:rPr>
              <w:t xml:space="preserve"> </w:t>
            </w:r>
            <w:r w:rsidR="00C75F7B" w:rsidRPr="000B48C7">
              <w:rPr>
                <w:rFonts w:eastAsia="Times New Roman"/>
                <w:sz w:val="20"/>
                <w:szCs w:val="20"/>
              </w:rPr>
              <w:t xml:space="preserve">  </w:t>
            </w:r>
            <w:r w:rsidR="00F816DC" w:rsidRPr="000B48C7">
              <w:rPr>
                <w:rFonts w:eastAsia="Times New Roman"/>
                <w:sz w:val="20"/>
                <w:szCs w:val="20"/>
              </w:rPr>
              <w:t xml:space="preserve">  </w:t>
            </w:r>
            <w:r w:rsidR="00C75F7B" w:rsidRPr="000B48C7">
              <w:rPr>
                <w:rFonts w:eastAsia="Times New Roman"/>
                <w:sz w:val="16"/>
                <w:szCs w:val="16"/>
              </w:rPr>
              <w:t>(</w:t>
            </w:r>
            <w:r w:rsidR="00F816DC" w:rsidRPr="000B48C7">
              <w:rPr>
                <w:rFonts w:eastAsia="Times New Roman"/>
                <w:sz w:val="16"/>
                <w:szCs w:val="16"/>
              </w:rPr>
              <w:t>i.e</w:t>
            </w:r>
            <w:r w:rsidR="00C75F7B" w:rsidRPr="000B48C7">
              <w:rPr>
                <w:rFonts w:eastAsia="Times New Roman"/>
                <w:sz w:val="16"/>
                <w:szCs w:val="16"/>
              </w:rPr>
              <w:t>.,</w:t>
            </w:r>
            <w:r w:rsidR="00F816DC" w:rsidRPr="000B48C7">
              <w:rPr>
                <w:rFonts w:eastAsia="Times New Roman"/>
                <w:sz w:val="16"/>
                <w:szCs w:val="16"/>
              </w:rPr>
              <w:t xml:space="preserve"> </w:t>
            </w:r>
            <w:r w:rsidR="00C75F7B" w:rsidRPr="000B48C7">
              <w:rPr>
                <w:rFonts w:eastAsia="Times New Roman"/>
                <w:sz w:val="16"/>
                <w:szCs w:val="16"/>
              </w:rPr>
              <w:t xml:space="preserve">orientation, assessment, </w:t>
            </w:r>
          </w:p>
          <w:p w14:paraId="25E666DA" w14:textId="520ECFCB" w:rsidR="00C75F7B" w:rsidRPr="000B48C7" w:rsidRDefault="004B15FE" w:rsidP="00395E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degree m</w:t>
            </w:r>
            <w:r w:rsidR="00C75F7B" w:rsidRPr="000B48C7">
              <w:rPr>
                <w:rFonts w:eastAsia="Times New Roman"/>
                <w:sz w:val="16"/>
                <w:szCs w:val="16"/>
              </w:rPr>
              <w:t>aps</w:t>
            </w:r>
            <w:r w:rsidR="005973DA" w:rsidRPr="000B48C7">
              <w:rPr>
                <w:rFonts w:eastAsia="Times New Roman"/>
                <w:sz w:val="16"/>
                <w:szCs w:val="16"/>
              </w:rPr>
              <w:t xml:space="preserve">, </w:t>
            </w:r>
            <w:r w:rsidR="005973DA">
              <w:rPr>
                <w:rFonts w:eastAsia="Times New Roman"/>
                <w:sz w:val="16"/>
                <w:szCs w:val="16"/>
              </w:rPr>
              <w:t>Ed</w:t>
            </w:r>
            <w:r w:rsidR="008650BF">
              <w:rPr>
                <w:rFonts w:eastAsia="Times New Roman"/>
                <w:sz w:val="16"/>
                <w:szCs w:val="16"/>
              </w:rPr>
              <w:t xml:space="preserve">. </w:t>
            </w:r>
            <w:r w:rsidR="00C75F7B" w:rsidRPr="000B48C7">
              <w:rPr>
                <w:rFonts w:eastAsia="Times New Roman"/>
                <w:sz w:val="16"/>
                <w:szCs w:val="16"/>
              </w:rPr>
              <w:t>Plans)</w:t>
            </w:r>
          </w:p>
          <w:p w14:paraId="13048C38" w14:textId="77777777" w:rsidR="00C75F7B" w:rsidRPr="000B48C7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3083FDB6" w14:textId="77777777" w:rsidR="00C75F7B" w:rsidRPr="002A7313" w:rsidRDefault="00C75F7B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College</w:t>
            </w:r>
          </w:p>
          <w:p w14:paraId="52A8FFE4" w14:textId="079B4208" w:rsidR="00F816DC" w:rsidRPr="002A7313" w:rsidRDefault="00C75F7B" w:rsidP="00395E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Prep</w:t>
            </w:r>
            <w:r w:rsidR="008013C4" w:rsidRPr="002A731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386DA053" w14:textId="10E2764F" w:rsidR="00C75F7B" w:rsidRPr="000B48C7" w:rsidRDefault="00F816DC" w:rsidP="00395EFD">
            <w:pPr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0B48C7">
              <w:rPr>
                <w:rFonts w:eastAsia="Times New Roman"/>
                <w:sz w:val="16"/>
                <w:szCs w:val="16"/>
              </w:rPr>
              <w:t>(i.e., curriculum alignment, summer b</w:t>
            </w:r>
            <w:r w:rsidR="00C75F7B" w:rsidRPr="000B48C7">
              <w:rPr>
                <w:rFonts w:eastAsia="Times New Roman"/>
                <w:sz w:val="16"/>
                <w:szCs w:val="16"/>
              </w:rPr>
              <w:t>ridge)</w:t>
            </w:r>
          </w:p>
          <w:p w14:paraId="60AC6977" w14:textId="77777777" w:rsidR="00C75F7B" w:rsidRPr="000B48C7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5156E7DA" w14:textId="77777777" w:rsidR="00C75F7B" w:rsidRPr="002A7313" w:rsidRDefault="00C75F7B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Student Engagement</w:t>
            </w:r>
          </w:p>
          <w:p w14:paraId="0B038AE4" w14:textId="21F3FD29" w:rsidR="00C75F7B" w:rsidRDefault="00C75F7B" w:rsidP="00395EFD">
            <w:pPr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0B48C7">
              <w:rPr>
                <w:rFonts w:eastAsia="Times New Roman"/>
                <w:sz w:val="16"/>
                <w:szCs w:val="16"/>
              </w:rPr>
              <w:t>(</w:t>
            </w:r>
            <w:r w:rsidR="00F816DC" w:rsidRPr="000B48C7">
              <w:rPr>
                <w:rFonts w:eastAsia="Times New Roman"/>
                <w:sz w:val="16"/>
                <w:szCs w:val="16"/>
              </w:rPr>
              <w:t xml:space="preserve">i.e., in-class strategies, college culture, </w:t>
            </w:r>
            <w:r w:rsidR="005973DA" w:rsidRPr="000B48C7">
              <w:rPr>
                <w:rFonts w:eastAsia="Times New Roman"/>
                <w:sz w:val="16"/>
                <w:szCs w:val="16"/>
              </w:rPr>
              <w:t>Community Service Learning</w:t>
            </w:r>
            <w:r w:rsidRPr="000B48C7">
              <w:rPr>
                <w:rFonts w:eastAsia="Times New Roman"/>
                <w:sz w:val="16"/>
                <w:szCs w:val="16"/>
              </w:rPr>
              <w:t>)</w:t>
            </w:r>
          </w:p>
          <w:p w14:paraId="199D8C25" w14:textId="5174DB07" w:rsidR="00AD397D" w:rsidRPr="000B48C7" w:rsidRDefault="00AD397D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9D9D9" w:themeFill="background1" w:themeFillShade="D9"/>
          </w:tcPr>
          <w:p w14:paraId="4C16257B" w14:textId="77777777" w:rsidR="00C75F7B" w:rsidRPr="000B48C7" w:rsidRDefault="00C75F7B" w:rsidP="00395EFD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Program Interventions</w:t>
            </w:r>
            <w:r w:rsidRPr="000B48C7">
              <w:rPr>
                <w:rFonts w:eastAsia="Times New Roman"/>
                <w:sz w:val="20"/>
                <w:szCs w:val="20"/>
              </w:rPr>
              <w:t xml:space="preserve"> </w:t>
            </w:r>
            <w:r w:rsidRPr="000B48C7">
              <w:rPr>
                <w:rFonts w:eastAsia="Times New Roman"/>
                <w:sz w:val="16"/>
                <w:szCs w:val="16"/>
              </w:rPr>
              <w:t>(</w:t>
            </w:r>
            <w:r w:rsidR="00F816DC" w:rsidRPr="000B48C7">
              <w:rPr>
                <w:rFonts w:eastAsia="Times New Roman"/>
                <w:sz w:val="16"/>
                <w:szCs w:val="16"/>
              </w:rPr>
              <w:t>i.e., mentoring, supplemental i</w:t>
            </w:r>
            <w:r w:rsidRPr="000B48C7">
              <w:rPr>
                <w:rFonts w:eastAsia="Times New Roman"/>
                <w:sz w:val="16"/>
                <w:szCs w:val="16"/>
              </w:rPr>
              <w:t>nstruction</w:t>
            </w:r>
            <w:r w:rsidR="00F816DC" w:rsidRPr="000B48C7">
              <w:rPr>
                <w:rFonts w:eastAsia="Times New Roman"/>
                <w:sz w:val="18"/>
                <w:szCs w:val="18"/>
              </w:rPr>
              <w:t>)</w:t>
            </w:r>
            <w:r w:rsidRPr="000B48C7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8A8C8D0" w14:textId="77777777" w:rsidR="00C75F7B" w:rsidRPr="000B48C7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4E2C80F8" w14:textId="718F876C" w:rsidR="00C75F7B" w:rsidRPr="000B48C7" w:rsidRDefault="00C75F7B" w:rsidP="00395EFD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Course Interventions</w:t>
            </w:r>
            <w:r w:rsidRPr="000B48C7">
              <w:rPr>
                <w:rFonts w:eastAsia="Times New Roman"/>
                <w:sz w:val="20"/>
                <w:szCs w:val="20"/>
              </w:rPr>
              <w:t xml:space="preserve"> </w:t>
            </w:r>
            <w:r w:rsidR="00F816DC" w:rsidRPr="000B48C7">
              <w:rPr>
                <w:rFonts w:eastAsia="Times New Roman"/>
                <w:sz w:val="16"/>
                <w:szCs w:val="16"/>
              </w:rPr>
              <w:t>(i.e., Learning Communities, Acceleration, integrative l</w:t>
            </w:r>
            <w:r w:rsidRPr="000B48C7">
              <w:rPr>
                <w:rFonts w:eastAsia="Times New Roman"/>
                <w:sz w:val="16"/>
                <w:szCs w:val="16"/>
              </w:rPr>
              <w:t>earning</w:t>
            </w:r>
            <w:r w:rsidR="00851DB0">
              <w:rPr>
                <w:rFonts w:eastAsia="Times New Roman"/>
                <w:sz w:val="16"/>
                <w:szCs w:val="16"/>
              </w:rPr>
              <w:t xml:space="preserve">, </w:t>
            </w:r>
            <w:r w:rsidR="00015CC2">
              <w:rPr>
                <w:rFonts w:eastAsia="Times New Roman"/>
                <w:sz w:val="16"/>
                <w:szCs w:val="16"/>
              </w:rPr>
              <w:t xml:space="preserve">faculty </w:t>
            </w:r>
            <w:r w:rsidR="00851DB0">
              <w:rPr>
                <w:rFonts w:eastAsia="Times New Roman"/>
                <w:sz w:val="16"/>
                <w:szCs w:val="16"/>
              </w:rPr>
              <w:t>professional development</w:t>
            </w:r>
            <w:r w:rsidRPr="000B48C7">
              <w:rPr>
                <w:rFonts w:eastAsia="Times New Roman"/>
                <w:sz w:val="16"/>
                <w:szCs w:val="16"/>
              </w:rPr>
              <w:t>)</w:t>
            </w:r>
          </w:p>
          <w:p w14:paraId="1C5C86C8" w14:textId="77777777" w:rsidR="00C75F7B" w:rsidRPr="000B48C7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1C87" w14:paraId="526C4855" w14:textId="77777777" w:rsidTr="00395EFD">
        <w:trPr>
          <w:trHeight w:val="2739"/>
        </w:trPr>
        <w:tc>
          <w:tcPr>
            <w:tcW w:w="15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A44E5F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28A5DDE7" w14:textId="77777777" w:rsidR="00AD397D" w:rsidRDefault="00AD397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1A5F6EFA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Student Success</w:t>
            </w:r>
          </w:p>
          <w:p w14:paraId="5A3125D7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&amp; Support</w:t>
            </w:r>
          </w:p>
          <w:p w14:paraId="2A858BB6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Program (SSSP)</w:t>
            </w:r>
          </w:p>
          <w:p w14:paraId="1B274546" w14:textId="77777777" w:rsidR="00CC4DF8" w:rsidRDefault="00CC4DF8" w:rsidP="00395EFD">
            <w:pPr>
              <w:jc w:val="center"/>
              <w:rPr>
                <w:sz w:val="16"/>
                <w:szCs w:val="16"/>
              </w:rPr>
            </w:pPr>
          </w:p>
          <w:p w14:paraId="3CD93E0E" w14:textId="7E56940F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Contact:</w:t>
            </w:r>
          </w:p>
          <w:p w14:paraId="752D37D3" w14:textId="77777777" w:rsidR="00C75F7B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Martha</w:t>
            </w:r>
            <w:r>
              <w:rPr>
                <w:sz w:val="16"/>
                <w:szCs w:val="16"/>
              </w:rPr>
              <w:t xml:space="preserve"> Clavelle</w:t>
            </w:r>
          </w:p>
          <w:p w14:paraId="62C385B2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</w:p>
          <w:p w14:paraId="604DA074" w14:textId="5A43C6C4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1D116C17" w14:textId="77777777" w:rsidR="00C75F7B" w:rsidRPr="009F229A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  <w:p w14:paraId="406C820D" w14:textId="2D84E319" w:rsidR="006A4060" w:rsidRDefault="006A4060" w:rsidP="00395EFD">
            <w:pPr>
              <w:jc w:val="center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14:paraId="1DC60271" w14:textId="2833CC11" w:rsidR="00C75F7B" w:rsidRPr="009F229A" w:rsidRDefault="00AD397D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orientation; assessment;</w:t>
            </w:r>
            <w:r w:rsidR="009F229A">
              <w:rPr>
                <w:sz w:val="16"/>
                <w:szCs w:val="16"/>
              </w:rPr>
              <w:t xml:space="preserve"> abbreviated and comprehensive education and other planning to </w:t>
            </w:r>
            <w:r>
              <w:rPr>
                <w:sz w:val="16"/>
                <w:szCs w:val="16"/>
              </w:rPr>
              <w:t xml:space="preserve">all </w:t>
            </w:r>
            <w:r w:rsidR="009F229A">
              <w:rPr>
                <w:sz w:val="16"/>
                <w:szCs w:val="16"/>
              </w:rPr>
              <w:t>currently enrolled students</w:t>
            </w:r>
          </w:p>
        </w:tc>
        <w:tc>
          <w:tcPr>
            <w:tcW w:w="1379" w:type="dxa"/>
            <w:shd w:val="clear" w:color="auto" w:fill="auto"/>
          </w:tcPr>
          <w:p w14:paraId="50587B19" w14:textId="37A8D23B" w:rsidR="00C75F7B" w:rsidRPr="009F229A" w:rsidRDefault="009F229A" w:rsidP="00395EFD">
            <w:pPr>
              <w:rPr>
                <w:sz w:val="16"/>
                <w:szCs w:val="16"/>
              </w:rPr>
            </w:pPr>
            <w:r w:rsidRPr="009F229A">
              <w:rPr>
                <w:sz w:val="16"/>
                <w:szCs w:val="16"/>
              </w:rPr>
              <w:t xml:space="preserve">group and individual </w:t>
            </w:r>
            <w:r>
              <w:rPr>
                <w:sz w:val="16"/>
                <w:szCs w:val="16"/>
              </w:rPr>
              <w:t>experiences for students needi</w:t>
            </w:r>
            <w:r w:rsidR="00AD397D">
              <w:rPr>
                <w:sz w:val="16"/>
                <w:szCs w:val="16"/>
              </w:rPr>
              <w:t xml:space="preserve">ng assistance with identifying </w:t>
            </w:r>
            <w:r w:rsidRPr="009F229A">
              <w:rPr>
                <w:sz w:val="16"/>
                <w:szCs w:val="16"/>
              </w:rPr>
              <w:t>academic goal</w:t>
            </w:r>
            <w:r>
              <w:rPr>
                <w:sz w:val="16"/>
                <w:szCs w:val="16"/>
              </w:rPr>
              <w:t>/course of study/ academic pathway</w:t>
            </w:r>
          </w:p>
        </w:tc>
        <w:tc>
          <w:tcPr>
            <w:tcW w:w="1704" w:type="dxa"/>
            <w:shd w:val="clear" w:color="auto" w:fill="auto"/>
          </w:tcPr>
          <w:p w14:paraId="6D7743F3" w14:textId="77777777" w:rsidR="00C75F7B" w:rsidRDefault="00C75F7B" w:rsidP="00395EFD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auto"/>
          </w:tcPr>
          <w:p w14:paraId="1376A143" w14:textId="2FC9D31C" w:rsidR="00C75F7B" w:rsidRPr="009F229A" w:rsidRDefault="00507183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follow-</w:t>
            </w:r>
            <w:r w:rsidR="009F229A">
              <w:rPr>
                <w:sz w:val="16"/>
                <w:szCs w:val="16"/>
              </w:rPr>
              <w:t>up services to at-risk students</w:t>
            </w:r>
            <w:r>
              <w:rPr>
                <w:sz w:val="16"/>
                <w:szCs w:val="16"/>
              </w:rPr>
              <w:t xml:space="preserve"> </w:t>
            </w:r>
            <w:r w:rsidR="009F229A">
              <w:rPr>
                <w:sz w:val="16"/>
                <w:szCs w:val="16"/>
              </w:rPr>
              <w:t xml:space="preserve">(basic skills students, students on or at risk of academic probation, and students </w:t>
            </w:r>
            <w:r w:rsidR="00AD397D">
              <w:rPr>
                <w:sz w:val="16"/>
                <w:szCs w:val="16"/>
              </w:rPr>
              <w:t>without defined education goals</w:t>
            </w:r>
            <w:r w:rsidR="009F229A">
              <w:rPr>
                <w:sz w:val="16"/>
                <w:szCs w:val="16"/>
              </w:rPr>
              <w:t>)</w:t>
            </w:r>
          </w:p>
        </w:tc>
        <w:tc>
          <w:tcPr>
            <w:tcW w:w="1769" w:type="dxa"/>
            <w:shd w:val="clear" w:color="auto" w:fill="auto"/>
          </w:tcPr>
          <w:p w14:paraId="4915550A" w14:textId="77777777" w:rsidR="00C75F7B" w:rsidRDefault="00C75F7B" w:rsidP="00395EFD">
            <w:pPr>
              <w:jc w:val="center"/>
              <w:rPr>
                <w:b/>
              </w:rPr>
            </w:pPr>
          </w:p>
        </w:tc>
      </w:tr>
      <w:tr w:rsidR="00621C87" w14:paraId="38BC66C7" w14:textId="77777777" w:rsidTr="00395EFD">
        <w:trPr>
          <w:trHeight w:val="5025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1FCDB5" w14:textId="6AFCFBAE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222350A7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85BF9CA" w14:textId="77777777" w:rsidR="002D5B56" w:rsidRDefault="002D5B56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B8A9F16" w14:textId="77777777" w:rsidR="002D5B56" w:rsidRDefault="002D5B56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7005EDA0" w14:textId="77777777" w:rsidR="002D5B56" w:rsidRDefault="002D5B56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77B7C2FC" w14:textId="77777777" w:rsidR="002D5B56" w:rsidRDefault="002D5B56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FC0489D" w14:textId="77777777" w:rsidR="002D5B56" w:rsidRDefault="002D5B56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3FD9DD7A" w14:textId="77777777" w:rsidR="00F816DC" w:rsidRPr="002A7313" w:rsidRDefault="00F816DC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Student</w:t>
            </w:r>
          </w:p>
          <w:p w14:paraId="24125DC0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Equity</w:t>
            </w:r>
          </w:p>
          <w:p w14:paraId="2BC843AE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</w:p>
          <w:p w14:paraId="10FD92FF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Contact:</w:t>
            </w:r>
          </w:p>
          <w:p w14:paraId="6FA34CB7" w14:textId="2058F238" w:rsidR="00F816DC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Lida Rafia</w:t>
            </w:r>
          </w:p>
          <w:p w14:paraId="66C2EAA2" w14:textId="77777777" w:rsidR="00C75F7B" w:rsidRPr="00C75F7B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14:paraId="5EB04741" w14:textId="38E8FE9E" w:rsidR="00C75F7B" w:rsidRPr="00507183" w:rsidRDefault="00CB248C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outreach; </w:t>
            </w:r>
            <w:r w:rsidR="00507183">
              <w:rPr>
                <w:sz w:val="16"/>
                <w:szCs w:val="16"/>
              </w:rPr>
              <w:t>f</w:t>
            </w:r>
            <w:r w:rsidR="00507183" w:rsidRPr="00507183">
              <w:rPr>
                <w:sz w:val="16"/>
                <w:szCs w:val="16"/>
              </w:rPr>
              <w:t>ocused outreach in nursing</w:t>
            </w:r>
            <w:r w:rsidR="002340FC">
              <w:rPr>
                <w:sz w:val="16"/>
                <w:szCs w:val="16"/>
              </w:rPr>
              <w:t>, including male</w:t>
            </w:r>
            <w:r w:rsidR="00AD397D">
              <w:rPr>
                <w:sz w:val="16"/>
                <w:szCs w:val="16"/>
              </w:rPr>
              <w:t xml:space="preserve">s and students of color; </w:t>
            </w:r>
            <w:r w:rsidR="002340FC">
              <w:rPr>
                <w:sz w:val="16"/>
                <w:szCs w:val="16"/>
              </w:rPr>
              <w:t xml:space="preserve">Latino/a Parent </w:t>
            </w:r>
            <w:r w:rsidR="00507183">
              <w:rPr>
                <w:sz w:val="16"/>
                <w:szCs w:val="16"/>
              </w:rPr>
              <w:t>Night;</w:t>
            </w:r>
            <w:r w:rsidR="00982490">
              <w:rPr>
                <w:sz w:val="16"/>
                <w:szCs w:val="16"/>
              </w:rPr>
              <w:t xml:space="preserve"> </w:t>
            </w:r>
            <w:r w:rsidR="00F77919">
              <w:rPr>
                <w:sz w:val="16"/>
                <w:szCs w:val="16"/>
              </w:rPr>
              <w:t xml:space="preserve">partner with San Diego Center for Ethics in Science and Technology; </w:t>
            </w:r>
            <w:r w:rsidR="002340FC">
              <w:rPr>
                <w:sz w:val="16"/>
                <w:szCs w:val="16"/>
              </w:rPr>
              <w:t>outreach to undocumented population</w:t>
            </w:r>
            <w:r w:rsidR="002D5B56">
              <w:rPr>
                <w:sz w:val="16"/>
                <w:szCs w:val="16"/>
              </w:rPr>
              <w:t xml:space="preserve"> and non-CAFYES qualifying foster youth</w:t>
            </w:r>
            <w:r w:rsidR="002340FC">
              <w:rPr>
                <w:sz w:val="16"/>
                <w:szCs w:val="16"/>
              </w:rPr>
              <w:t>; work with Guardian Scholars</w:t>
            </w:r>
            <w:r>
              <w:rPr>
                <w:sz w:val="16"/>
                <w:szCs w:val="16"/>
              </w:rPr>
              <w:t xml:space="preserve"> to develop outreach to foster youth students</w:t>
            </w:r>
          </w:p>
        </w:tc>
        <w:tc>
          <w:tcPr>
            <w:tcW w:w="1594" w:type="dxa"/>
            <w:shd w:val="clear" w:color="auto" w:fill="auto"/>
          </w:tcPr>
          <w:p w14:paraId="2BAA72DD" w14:textId="4829A91A" w:rsidR="00C75F7B" w:rsidRDefault="00AD397D" w:rsidP="00395EFD">
            <w:pPr>
              <w:rPr>
                <w:b/>
              </w:rPr>
            </w:pPr>
            <w:r>
              <w:rPr>
                <w:sz w:val="16"/>
                <w:szCs w:val="16"/>
              </w:rPr>
              <w:t xml:space="preserve">Open House </w:t>
            </w:r>
            <w:r w:rsidR="002340FC">
              <w:rPr>
                <w:sz w:val="16"/>
                <w:szCs w:val="16"/>
              </w:rPr>
              <w:t xml:space="preserve">with multilingual application workshops, specialized presentations for undocumented students, Latino/a students, former foster youth (FFY), refugees, etc.; </w:t>
            </w:r>
            <w:r w:rsidR="00507183">
              <w:rPr>
                <w:sz w:val="16"/>
                <w:szCs w:val="16"/>
              </w:rPr>
              <w:t xml:space="preserve">improve college website; </w:t>
            </w:r>
            <w:r w:rsidR="00982490">
              <w:rPr>
                <w:sz w:val="16"/>
                <w:szCs w:val="16"/>
              </w:rPr>
              <w:t xml:space="preserve">educational Safe Zone and </w:t>
            </w:r>
            <w:r w:rsidR="002D5B56">
              <w:rPr>
                <w:sz w:val="16"/>
                <w:szCs w:val="16"/>
              </w:rPr>
              <w:t xml:space="preserve">other </w:t>
            </w:r>
            <w:r w:rsidR="00982490">
              <w:rPr>
                <w:sz w:val="16"/>
                <w:szCs w:val="16"/>
              </w:rPr>
              <w:t>planning for undocumented students</w:t>
            </w:r>
            <w:r w:rsidR="002D5B56">
              <w:rPr>
                <w:sz w:val="16"/>
                <w:szCs w:val="16"/>
              </w:rPr>
              <w:t xml:space="preserve"> and  non-CAFYES qualifying foster youth</w:t>
            </w:r>
            <w:r w:rsidR="00982490">
              <w:rPr>
                <w:sz w:val="16"/>
                <w:szCs w:val="16"/>
              </w:rPr>
              <w:t xml:space="preserve">; multilingual application workshops; </w:t>
            </w:r>
          </w:p>
        </w:tc>
        <w:tc>
          <w:tcPr>
            <w:tcW w:w="1379" w:type="dxa"/>
            <w:shd w:val="clear" w:color="auto" w:fill="auto"/>
          </w:tcPr>
          <w:p w14:paraId="4505517D" w14:textId="645C25C3" w:rsidR="00C75F7B" w:rsidRPr="00507183" w:rsidRDefault="00507183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bridge program</w:t>
            </w:r>
            <w:r w:rsidR="00982490">
              <w:rPr>
                <w:sz w:val="16"/>
                <w:szCs w:val="16"/>
              </w:rPr>
              <w:t>—6 wk.</w:t>
            </w:r>
            <w:r w:rsidR="00496D2F">
              <w:rPr>
                <w:sz w:val="16"/>
                <w:szCs w:val="16"/>
              </w:rPr>
              <w:t xml:space="preserve"> English reading and college &amp;</w:t>
            </w:r>
            <w:r w:rsidR="00982490">
              <w:rPr>
                <w:sz w:val="16"/>
                <w:szCs w:val="16"/>
              </w:rPr>
              <w:t xml:space="preserve"> career success course</w:t>
            </w:r>
            <w:r w:rsidR="002340FC">
              <w:rPr>
                <w:sz w:val="16"/>
                <w:szCs w:val="16"/>
              </w:rPr>
              <w:t xml:space="preserve"> with weekly activities, i.e., social gatherings, workshops, and field trips</w:t>
            </w:r>
          </w:p>
        </w:tc>
        <w:tc>
          <w:tcPr>
            <w:tcW w:w="1704" w:type="dxa"/>
            <w:shd w:val="clear" w:color="auto" w:fill="auto"/>
          </w:tcPr>
          <w:p w14:paraId="78141401" w14:textId="1411AD68" w:rsidR="00C75F7B" w:rsidRPr="00714A34" w:rsidRDefault="00BF0C19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Engagement Center; student-led programming; Community Service Learning; Campus Cultural Events (Black History Month, Latino/a Heritage Month, National Coming Out Day); Multicultural and Rainbow graduation; </w:t>
            </w:r>
            <w:r w:rsidR="00F77919">
              <w:rPr>
                <w:sz w:val="16"/>
                <w:szCs w:val="16"/>
              </w:rPr>
              <w:t>retreats; institute Student Equity Hour</w:t>
            </w:r>
            <w:r w:rsidR="00982490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professional development on student engagement and equity pedagogy</w:t>
            </w:r>
            <w:r w:rsidR="00982490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Safe Zone Training;</w:t>
            </w:r>
            <w:r w:rsidR="00982490">
              <w:rPr>
                <w:sz w:val="16"/>
                <w:szCs w:val="16"/>
              </w:rPr>
              <w:t xml:space="preserve"> field trips</w:t>
            </w:r>
            <w:r w:rsidR="002D5B56">
              <w:rPr>
                <w:sz w:val="16"/>
                <w:szCs w:val="16"/>
              </w:rPr>
              <w:t>; disaggregating data to</w:t>
            </w:r>
            <w:r w:rsidR="007E33ED">
              <w:rPr>
                <w:sz w:val="16"/>
                <w:szCs w:val="16"/>
              </w:rPr>
              <w:t xml:space="preserve"> </w:t>
            </w:r>
            <w:r w:rsidR="00496D2F">
              <w:rPr>
                <w:sz w:val="16"/>
                <w:szCs w:val="16"/>
              </w:rPr>
              <w:t xml:space="preserve">ensure </w:t>
            </w:r>
            <w:r w:rsidR="002D5B56">
              <w:rPr>
                <w:sz w:val="16"/>
                <w:szCs w:val="16"/>
              </w:rPr>
              <w:t>engage</w:t>
            </w:r>
            <w:r w:rsidR="00496D2F">
              <w:rPr>
                <w:sz w:val="16"/>
                <w:szCs w:val="16"/>
              </w:rPr>
              <w:t>ment of</w:t>
            </w:r>
            <w:r w:rsidR="002D5B56">
              <w:rPr>
                <w:sz w:val="16"/>
                <w:szCs w:val="16"/>
              </w:rPr>
              <w:t xml:space="preserve"> at-risk</w:t>
            </w:r>
            <w:r w:rsidR="007E33ED">
              <w:rPr>
                <w:sz w:val="16"/>
                <w:szCs w:val="16"/>
              </w:rPr>
              <w:t xml:space="preserve"> populations</w:t>
            </w:r>
          </w:p>
        </w:tc>
        <w:tc>
          <w:tcPr>
            <w:tcW w:w="2014" w:type="dxa"/>
            <w:shd w:val="clear" w:color="auto" w:fill="auto"/>
          </w:tcPr>
          <w:p w14:paraId="35506446" w14:textId="1622CB6A" w:rsidR="00C75F7B" w:rsidRDefault="00BF0C19" w:rsidP="00395EFD">
            <w:pPr>
              <w:rPr>
                <w:b/>
              </w:rPr>
            </w:pPr>
            <w:r>
              <w:rPr>
                <w:sz w:val="16"/>
                <w:szCs w:val="16"/>
              </w:rPr>
              <w:t xml:space="preserve">reinstitute PUENTE; institute MESA (Math, Engineering, Science Achievement);  expand Umoja-ECS (Ensuring College Success); </w:t>
            </w:r>
            <w:r w:rsidR="00507183">
              <w:rPr>
                <w:sz w:val="16"/>
                <w:szCs w:val="16"/>
              </w:rPr>
              <w:t>c</w:t>
            </w:r>
            <w:r w:rsidR="00507183" w:rsidRPr="00507183">
              <w:rPr>
                <w:sz w:val="16"/>
                <w:szCs w:val="16"/>
              </w:rPr>
              <w:t>om</w:t>
            </w:r>
            <w:r w:rsidR="00507183">
              <w:rPr>
                <w:sz w:val="16"/>
                <w:szCs w:val="16"/>
              </w:rPr>
              <w:t>prehensive adult Re-Entry Program; services for undocumented stu</w:t>
            </w:r>
            <w:r w:rsidR="00496D2F">
              <w:rPr>
                <w:sz w:val="16"/>
                <w:szCs w:val="16"/>
              </w:rPr>
              <w:t>dents; direct student support for</w:t>
            </w:r>
            <w:r w:rsidR="00507183">
              <w:rPr>
                <w:sz w:val="16"/>
                <w:szCs w:val="16"/>
              </w:rPr>
              <w:t xml:space="preserve"> African American students in Nursing program; </w:t>
            </w:r>
            <w:r w:rsidR="00F77919">
              <w:rPr>
                <w:sz w:val="16"/>
                <w:szCs w:val="16"/>
              </w:rPr>
              <w:t xml:space="preserve">expand service hours in child development; </w:t>
            </w:r>
            <w:r w:rsidR="00982490">
              <w:rPr>
                <w:sz w:val="16"/>
                <w:szCs w:val="16"/>
              </w:rPr>
              <w:t xml:space="preserve">multilingual financial aid workshops; </w:t>
            </w:r>
            <w:r>
              <w:rPr>
                <w:sz w:val="16"/>
                <w:szCs w:val="16"/>
              </w:rPr>
              <w:t xml:space="preserve">embedded tutors for basic skills </w:t>
            </w:r>
            <w:r w:rsidR="007D2056">
              <w:rPr>
                <w:sz w:val="16"/>
                <w:szCs w:val="16"/>
              </w:rPr>
              <w:t>and ESL</w:t>
            </w:r>
            <w:r w:rsidR="007E33ED">
              <w:rPr>
                <w:sz w:val="16"/>
                <w:szCs w:val="16"/>
              </w:rPr>
              <w:t xml:space="preserve">; focused financial aid for </w:t>
            </w:r>
            <w:r w:rsidR="002D5B56">
              <w:rPr>
                <w:sz w:val="16"/>
                <w:szCs w:val="16"/>
              </w:rPr>
              <w:t>at-risk populations, including non-CAFYES qualifying foster youth</w:t>
            </w:r>
            <w:r w:rsidR="007E33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14:paraId="68239949" w14:textId="765A7117" w:rsidR="00C75F7B" w:rsidRPr="00507183" w:rsidRDefault="00BF0C19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professional development for Acceleration, FTLI </w:t>
            </w:r>
            <w:r w:rsidR="00496D2F">
              <w:rPr>
                <w:sz w:val="16"/>
                <w:szCs w:val="16"/>
              </w:rPr>
              <w:t xml:space="preserve">(Freshman Transition Leadership </w:t>
            </w:r>
            <w:r>
              <w:rPr>
                <w:sz w:val="16"/>
                <w:szCs w:val="16"/>
              </w:rPr>
              <w:t>Institute</w:t>
            </w:r>
            <w:r w:rsidR="00496D2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and M2C3</w:t>
            </w:r>
            <w:r w:rsidR="007D2056">
              <w:rPr>
                <w:sz w:val="16"/>
                <w:szCs w:val="16"/>
              </w:rPr>
              <w:t xml:space="preserve"> (Minority Male Co</w:t>
            </w:r>
            <w:r w:rsidR="00496D2F">
              <w:rPr>
                <w:sz w:val="16"/>
                <w:szCs w:val="16"/>
              </w:rPr>
              <w:t xml:space="preserve">mmunity College </w:t>
            </w:r>
            <w:r w:rsidR="007D2056">
              <w:rPr>
                <w:sz w:val="16"/>
                <w:szCs w:val="16"/>
              </w:rPr>
              <w:t>Collaborative)</w:t>
            </w:r>
            <w:r w:rsidR="002D5B56">
              <w:rPr>
                <w:sz w:val="16"/>
                <w:szCs w:val="16"/>
              </w:rPr>
              <w:t>,  ACE (Academy for College Excellence)</w:t>
            </w:r>
            <w:r>
              <w:rPr>
                <w:sz w:val="16"/>
                <w:szCs w:val="16"/>
              </w:rPr>
              <w:t>; comprehensive retention program, includes Early A</w:t>
            </w:r>
            <w:r w:rsidR="002D5B56">
              <w:rPr>
                <w:sz w:val="16"/>
                <w:szCs w:val="16"/>
              </w:rPr>
              <w:t xml:space="preserve">lert systems; </w:t>
            </w:r>
            <w:r>
              <w:rPr>
                <w:sz w:val="16"/>
                <w:szCs w:val="16"/>
              </w:rPr>
              <w:t>embedded librarian in target courses; curriculum development for underserved and at-risk populations</w:t>
            </w:r>
            <w:r w:rsidR="007E33ED">
              <w:rPr>
                <w:sz w:val="16"/>
                <w:szCs w:val="16"/>
              </w:rPr>
              <w:t>; ESL linked courses;</w:t>
            </w:r>
            <w:r w:rsidR="007D2056">
              <w:rPr>
                <w:sz w:val="16"/>
                <w:szCs w:val="16"/>
              </w:rPr>
              <w:t xml:space="preserve"> Reading Apprenticeship Training; Faculty Teaching and Learning</w:t>
            </w:r>
            <w:r w:rsidR="00851DB0">
              <w:rPr>
                <w:sz w:val="16"/>
                <w:szCs w:val="16"/>
              </w:rPr>
              <w:t xml:space="preserve"> Institute</w:t>
            </w:r>
            <w:r w:rsidR="007D2056">
              <w:rPr>
                <w:sz w:val="16"/>
                <w:szCs w:val="16"/>
              </w:rPr>
              <w:t xml:space="preserve"> </w:t>
            </w:r>
          </w:p>
        </w:tc>
      </w:tr>
      <w:tr w:rsidR="00621C87" w14:paraId="4779E20F" w14:textId="77777777" w:rsidTr="00395EFD">
        <w:trPr>
          <w:trHeight w:val="2064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BFB14B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0B014B4A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75459546" w14:textId="77777777" w:rsidR="00395EFD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 xml:space="preserve">Basic </w:t>
            </w:r>
          </w:p>
          <w:p w14:paraId="65F5AAA9" w14:textId="097C902D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Skills</w:t>
            </w:r>
          </w:p>
          <w:p w14:paraId="14EAA789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</w:p>
          <w:p w14:paraId="68DA2C84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Contact:</w:t>
            </w:r>
          </w:p>
          <w:p w14:paraId="062F7657" w14:textId="0F5108DE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Beth Kelly</w:t>
            </w:r>
          </w:p>
        </w:tc>
        <w:tc>
          <w:tcPr>
            <w:tcW w:w="1434" w:type="dxa"/>
          </w:tcPr>
          <w:p w14:paraId="385E589B" w14:textId="5F2488FA" w:rsidR="00D74D93" w:rsidRPr="00D74D93" w:rsidRDefault="00851DB0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</w:t>
            </w:r>
            <w:r w:rsidR="00D74D93" w:rsidRPr="00D74D93">
              <w:rPr>
                <w:rFonts w:eastAsia="Times New Roman"/>
                <w:sz w:val="16"/>
                <w:szCs w:val="16"/>
              </w:rPr>
              <w:t>tudent focus groups</w:t>
            </w:r>
          </w:p>
          <w:p w14:paraId="65DBACEA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8564AFF" w14:textId="2C5B7D9B" w:rsidR="00D74D93" w:rsidRPr="00D74D93" w:rsidRDefault="00851DB0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</w:t>
            </w:r>
            <w:r w:rsidR="00D74D93" w:rsidRPr="00D74D93">
              <w:rPr>
                <w:rFonts w:eastAsia="Times New Roman"/>
                <w:sz w:val="16"/>
                <w:szCs w:val="16"/>
              </w:rPr>
              <w:t>eading diagnostic test</w:t>
            </w:r>
            <w:r>
              <w:rPr>
                <w:rFonts w:eastAsia="Times New Roman"/>
                <w:sz w:val="16"/>
                <w:szCs w:val="16"/>
              </w:rPr>
              <w:t xml:space="preserve">; </w:t>
            </w:r>
            <w:r w:rsidR="00D74D93" w:rsidRPr="00D74D93">
              <w:rPr>
                <w:rFonts w:eastAsia="Times New Roman"/>
                <w:sz w:val="16"/>
                <w:szCs w:val="16"/>
              </w:rPr>
              <w:t>Eng</w:t>
            </w:r>
            <w:r>
              <w:rPr>
                <w:rFonts w:eastAsia="Times New Roman"/>
                <w:sz w:val="16"/>
                <w:szCs w:val="16"/>
              </w:rPr>
              <w:t>lish p</w:t>
            </w:r>
            <w:r w:rsidR="00D74D93" w:rsidRPr="00D74D93">
              <w:rPr>
                <w:rFonts w:eastAsia="Times New Roman"/>
                <w:sz w:val="16"/>
                <w:szCs w:val="16"/>
              </w:rPr>
              <w:t>re-assessment workshops</w:t>
            </w:r>
            <w:r w:rsidR="002A7313">
              <w:rPr>
                <w:rFonts w:eastAsia="Times New Roman"/>
                <w:sz w:val="16"/>
                <w:szCs w:val="16"/>
              </w:rPr>
              <w:t xml:space="preserve">; </w:t>
            </w:r>
            <w:r w:rsidR="002A7313" w:rsidRPr="00D74D93">
              <w:rPr>
                <w:rFonts w:eastAsia="Times New Roman"/>
                <w:sz w:val="16"/>
                <w:szCs w:val="16"/>
              </w:rPr>
              <w:t>Accuplacer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 prep workshops</w:t>
            </w:r>
          </w:p>
          <w:p w14:paraId="37856786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0888316E" w14:textId="03494E83" w:rsidR="00D74D93" w:rsidRPr="00D74D93" w:rsidRDefault="00851DB0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EOPS Summer I</w:t>
            </w:r>
            <w:r w:rsidR="00D74D93" w:rsidRPr="00D74D93">
              <w:rPr>
                <w:rFonts w:eastAsia="Times New Roman"/>
                <w:sz w:val="16"/>
                <w:szCs w:val="16"/>
              </w:rPr>
              <w:t>nstitute</w:t>
            </w:r>
            <w:r>
              <w:rPr>
                <w:rFonts w:eastAsia="Times New Roman"/>
                <w:sz w:val="16"/>
                <w:szCs w:val="16"/>
              </w:rPr>
              <w:t>, s</w:t>
            </w:r>
            <w:r w:rsidR="00D74D93" w:rsidRPr="00D74D93">
              <w:rPr>
                <w:rFonts w:eastAsia="Times New Roman"/>
                <w:sz w:val="16"/>
                <w:szCs w:val="16"/>
              </w:rPr>
              <w:t>tudent focus groups</w:t>
            </w:r>
          </w:p>
          <w:p w14:paraId="13E14358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25ACEEA0" w14:textId="39EF7E49" w:rsidR="00D74D93" w:rsidRPr="00D74D93" w:rsidRDefault="00D74D93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 w:rsidRPr="00D74D93">
              <w:rPr>
                <w:rFonts w:eastAsia="Times New Roman"/>
                <w:sz w:val="16"/>
                <w:szCs w:val="16"/>
              </w:rPr>
              <w:t>Umoja student ambassadors</w:t>
            </w:r>
            <w:r w:rsidR="00851DB0">
              <w:rPr>
                <w:rFonts w:eastAsia="Times New Roman"/>
                <w:sz w:val="16"/>
                <w:szCs w:val="16"/>
              </w:rPr>
              <w:t>; P</w:t>
            </w:r>
            <w:r w:rsidR="00015CC2">
              <w:rPr>
                <w:rFonts w:eastAsia="Times New Roman"/>
                <w:sz w:val="16"/>
                <w:szCs w:val="16"/>
              </w:rPr>
              <w:t>UENTE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pathway</w:t>
            </w:r>
            <w:r w:rsidR="00851DB0">
              <w:rPr>
                <w:rFonts w:eastAsia="Times New Roman"/>
                <w:sz w:val="16"/>
                <w:szCs w:val="16"/>
              </w:rPr>
              <w:t>; c</w:t>
            </w:r>
            <w:r w:rsidRPr="00D74D93">
              <w:rPr>
                <w:rFonts w:eastAsia="Times New Roman"/>
                <w:sz w:val="16"/>
                <w:szCs w:val="16"/>
              </w:rPr>
              <w:t>ontextualized integrated learning assignments</w:t>
            </w:r>
            <w:r w:rsidR="00851DB0">
              <w:rPr>
                <w:rFonts w:eastAsia="Times New Roman"/>
                <w:sz w:val="16"/>
                <w:szCs w:val="16"/>
              </w:rPr>
              <w:t>; s</w:t>
            </w:r>
            <w:r w:rsidRPr="00D74D93">
              <w:rPr>
                <w:rFonts w:eastAsia="Times New Roman"/>
                <w:sz w:val="16"/>
                <w:szCs w:val="16"/>
              </w:rPr>
              <w:t>tudent focus groups</w:t>
            </w:r>
            <w:r w:rsidR="00851DB0">
              <w:rPr>
                <w:rFonts w:eastAsia="Times New Roman"/>
                <w:sz w:val="16"/>
                <w:szCs w:val="16"/>
              </w:rPr>
              <w:t>; e</w:t>
            </w:r>
            <w:r w:rsidRPr="00D74D93">
              <w:rPr>
                <w:rFonts w:eastAsia="Times New Roman"/>
                <w:sz w:val="16"/>
                <w:szCs w:val="16"/>
              </w:rPr>
              <w:t>mbedded counseling</w:t>
            </w:r>
          </w:p>
          <w:p w14:paraId="43E13B45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4" w:type="dxa"/>
          </w:tcPr>
          <w:p w14:paraId="1D7F689F" w14:textId="625C256F" w:rsidR="00D74D93" w:rsidRPr="00D74D93" w:rsidRDefault="00D74D93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 w:rsidRPr="00D74D93">
              <w:rPr>
                <w:rFonts w:eastAsia="Times New Roman"/>
                <w:sz w:val="16"/>
                <w:szCs w:val="16"/>
              </w:rPr>
              <w:t>Umoja tutoring</w:t>
            </w:r>
            <w:r w:rsidR="00015CC2">
              <w:rPr>
                <w:rFonts w:eastAsia="Times New Roman"/>
                <w:sz w:val="16"/>
                <w:szCs w:val="16"/>
              </w:rPr>
              <w:t>;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Math study center tutors</w:t>
            </w:r>
            <w:r w:rsidR="00015CC2">
              <w:rPr>
                <w:rFonts w:eastAsia="Times New Roman"/>
                <w:sz w:val="16"/>
                <w:szCs w:val="16"/>
              </w:rPr>
              <w:t>;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ESL, Math &amp; Eng</w:t>
            </w:r>
            <w:r w:rsidR="00015CC2">
              <w:rPr>
                <w:rFonts w:eastAsia="Times New Roman"/>
                <w:sz w:val="16"/>
                <w:szCs w:val="16"/>
              </w:rPr>
              <w:t>lish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embedded tutors</w:t>
            </w:r>
            <w:r w:rsidR="00015CC2">
              <w:rPr>
                <w:rFonts w:eastAsia="Times New Roman"/>
                <w:sz w:val="16"/>
                <w:szCs w:val="16"/>
              </w:rPr>
              <w:t>; t</w:t>
            </w:r>
            <w:r w:rsidRPr="00D74D93">
              <w:rPr>
                <w:rFonts w:eastAsia="Times New Roman"/>
                <w:sz w:val="16"/>
                <w:szCs w:val="16"/>
              </w:rPr>
              <w:t>utor tracking system</w:t>
            </w:r>
            <w:r w:rsidR="00015CC2">
              <w:rPr>
                <w:rFonts w:eastAsia="Times New Roman"/>
                <w:sz w:val="16"/>
                <w:szCs w:val="16"/>
              </w:rPr>
              <w:t>; s</w:t>
            </w:r>
            <w:r w:rsidRPr="00D74D93">
              <w:rPr>
                <w:rFonts w:eastAsia="Times New Roman"/>
                <w:sz w:val="16"/>
                <w:szCs w:val="16"/>
              </w:rPr>
              <w:t>tudent focus groups</w:t>
            </w:r>
          </w:p>
          <w:p w14:paraId="32AB97AA" w14:textId="77777777" w:rsidR="00C75F7B" w:rsidRPr="00D74D93" w:rsidRDefault="00C75F7B" w:rsidP="00395EFD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</w:tcPr>
          <w:p w14:paraId="0967F923" w14:textId="10165A61" w:rsidR="00D74D93" w:rsidRPr="00D74D93" w:rsidRDefault="00D74D93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 w:rsidRPr="00D74D93">
              <w:rPr>
                <w:rFonts w:eastAsia="Times New Roman"/>
                <w:sz w:val="16"/>
                <w:szCs w:val="16"/>
              </w:rPr>
              <w:t>Eng</w:t>
            </w:r>
            <w:r w:rsidR="00015CC2">
              <w:rPr>
                <w:rFonts w:eastAsia="Times New Roman"/>
                <w:sz w:val="16"/>
                <w:szCs w:val="16"/>
              </w:rPr>
              <w:t>lish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linked pathways</w:t>
            </w:r>
            <w:r w:rsidR="00015CC2">
              <w:rPr>
                <w:rFonts w:eastAsia="Times New Roman"/>
                <w:sz w:val="16"/>
                <w:szCs w:val="16"/>
              </w:rPr>
              <w:t>; s</w:t>
            </w:r>
            <w:r w:rsidRPr="00D74D93">
              <w:rPr>
                <w:rFonts w:eastAsia="Times New Roman"/>
                <w:sz w:val="16"/>
                <w:szCs w:val="16"/>
              </w:rPr>
              <w:t>tudent focus groups</w:t>
            </w:r>
            <w:r w:rsidR="00015CC2">
              <w:rPr>
                <w:rFonts w:eastAsia="Times New Roman"/>
                <w:sz w:val="16"/>
                <w:szCs w:val="16"/>
              </w:rPr>
              <w:t>; e</w:t>
            </w:r>
            <w:r w:rsidRPr="00D74D93">
              <w:rPr>
                <w:rFonts w:eastAsia="Times New Roman"/>
                <w:sz w:val="16"/>
                <w:szCs w:val="16"/>
              </w:rPr>
              <w:t>mbedded counseling</w:t>
            </w:r>
          </w:p>
          <w:p w14:paraId="7BE6272D" w14:textId="77777777" w:rsidR="00C75F7B" w:rsidRPr="00D74D93" w:rsidRDefault="00C75F7B" w:rsidP="00395EFD">
            <w:pPr>
              <w:rPr>
                <w:sz w:val="16"/>
                <w:szCs w:val="16"/>
              </w:rPr>
            </w:pPr>
          </w:p>
        </w:tc>
      </w:tr>
      <w:tr w:rsidR="00621C87" w14:paraId="3676E157" w14:textId="77777777" w:rsidTr="00395EFD">
        <w:trPr>
          <w:trHeight w:val="116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7EA9" w14:textId="3A1CFA89" w:rsidR="00015CC2" w:rsidRPr="00621C87" w:rsidRDefault="00015CC2" w:rsidP="0039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B4CD9A" w14:textId="77777777" w:rsidR="002A7313" w:rsidRPr="002A7313" w:rsidRDefault="002A7313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49CF721" w14:textId="4F145189" w:rsidR="00015CC2" w:rsidRPr="002A7313" w:rsidRDefault="00015CC2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Outreach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33403ABA" w14:textId="77777777" w:rsidR="002A7313" w:rsidRPr="002A7313" w:rsidRDefault="002A7313" w:rsidP="00395EFD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74C18FBE" w14:textId="6B5BC80E" w:rsidR="00015CC2" w:rsidRPr="002A7313" w:rsidRDefault="00015CC2" w:rsidP="00395EFD">
            <w:pPr>
              <w:rPr>
                <w:rFonts w:eastAsia="Times New Roman"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Onboarding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4219CABD" w14:textId="77777777" w:rsidR="002A7313" w:rsidRPr="002A7313" w:rsidRDefault="002A7313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5A299C2" w14:textId="77777777" w:rsidR="00015CC2" w:rsidRPr="002A7313" w:rsidRDefault="00015CC2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College</w:t>
            </w:r>
          </w:p>
          <w:p w14:paraId="40B4554C" w14:textId="4573B1C8" w:rsidR="00015CC2" w:rsidRPr="002A7313" w:rsidRDefault="00015CC2" w:rsidP="00395E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 xml:space="preserve">Prep 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83797B" w14:textId="77777777" w:rsidR="002A7313" w:rsidRPr="002A7313" w:rsidRDefault="002A7313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DDC40D2" w14:textId="77777777" w:rsidR="00015CC2" w:rsidRPr="002A7313" w:rsidRDefault="00015CC2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Student Engagement</w:t>
            </w:r>
          </w:p>
          <w:p w14:paraId="61392664" w14:textId="77777777" w:rsidR="00015CC2" w:rsidRPr="002A7313" w:rsidRDefault="00015CC2" w:rsidP="00395E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D84A7C" w14:textId="77777777" w:rsidR="002A7313" w:rsidRPr="002A7313" w:rsidRDefault="002A7313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882A5BD" w14:textId="565009AB" w:rsidR="00015CC2" w:rsidRPr="002A7313" w:rsidRDefault="00015CC2" w:rsidP="00395E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Program Interventions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5CAE58FA" w14:textId="77777777" w:rsidR="002A7313" w:rsidRPr="002A7313" w:rsidRDefault="002A7313" w:rsidP="00395E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771D3493" w14:textId="2A4B34F8" w:rsidR="00015CC2" w:rsidRPr="002A7313" w:rsidRDefault="00015CC2" w:rsidP="00395E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7313">
              <w:rPr>
                <w:rFonts w:eastAsia="Times New Roman"/>
                <w:b/>
                <w:sz w:val="24"/>
                <w:szCs w:val="24"/>
              </w:rPr>
              <w:t>Course Interventions</w:t>
            </w:r>
          </w:p>
        </w:tc>
      </w:tr>
      <w:tr w:rsidR="00621C87" w14:paraId="38B6680D" w14:textId="77777777" w:rsidTr="00395EFD">
        <w:trPr>
          <w:trHeight w:val="4132"/>
        </w:trPr>
        <w:tc>
          <w:tcPr>
            <w:tcW w:w="15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E224E7" w14:textId="79B4B69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63AE8862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39B308F8" w14:textId="77777777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246BE51E" w14:textId="77777777" w:rsidR="009E477D" w:rsidRDefault="009E477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A416D43" w14:textId="44960544" w:rsidR="009E477D" w:rsidRPr="002A7313" w:rsidRDefault="002340FC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“Via Rápida!</w:t>
            </w:r>
            <w:proofErr w:type="gramStart"/>
            <w:r w:rsidRPr="002A7313">
              <w:rPr>
                <w:b/>
                <w:sz w:val="24"/>
                <w:szCs w:val="24"/>
              </w:rPr>
              <w:t>”</w:t>
            </w:r>
            <w:r w:rsidR="00015CC2" w:rsidRPr="002A7313">
              <w:rPr>
                <w:b/>
                <w:sz w:val="24"/>
                <w:szCs w:val="24"/>
              </w:rPr>
              <w:t>:</w:t>
            </w:r>
            <w:proofErr w:type="gramEnd"/>
          </w:p>
          <w:p w14:paraId="1B099A7A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Title V</w:t>
            </w:r>
          </w:p>
          <w:p w14:paraId="5A780CD1" w14:textId="77777777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Grant</w:t>
            </w:r>
          </w:p>
          <w:p w14:paraId="753572A7" w14:textId="77777777" w:rsidR="00B7794F" w:rsidRDefault="00B7794F" w:rsidP="00395EFD">
            <w:pPr>
              <w:jc w:val="center"/>
              <w:rPr>
                <w:b/>
                <w:sz w:val="16"/>
                <w:szCs w:val="16"/>
              </w:rPr>
            </w:pPr>
          </w:p>
          <w:p w14:paraId="0929F59C" w14:textId="29C0160C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Contact</w:t>
            </w:r>
            <w:r>
              <w:rPr>
                <w:sz w:val="16"/>
                <w:szCs w:val="16"/>
              </w:rPr>
              <w:t>s</w:t>
            </w:r>
            <w:r w:rsidRPr="00B7794F">
              <w:rPr>
                <w:sz w:val="16"/>
                <w:szCs w:val="16"/>
              </w:rPr>
              <w:t>:</w:t>
            </w:r>
          </w:p>
          <w:p w14:paraId="69D4E1F4" w14:textId="1F499E5F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Chris Hill</w:t>
            </w:r>
          </w:p>
          <w:p w14:paraId="1E7C5C91" w14:textId="77777777" w:rsidR="00B7794F" w:rsidRPr="008C0042" w:rsidRDefault="00B7794F" w:rsidP="00395EFD">
            <w:pPr>
              <w:jc w:val="center"/>
              <w:rPr>
                <w:sz w:val="16"/>
                <w:szCs w:val="16"/>
              </w:rPr>
            </w:pPr>
            <w:r w:rsidRPr="008C0042">
              <w:rPr>
                <w:sz w:val="16"/>
                <w:szCs w:val="16"/>
              </w:rPr>
              <w:t>Sydney Brown</w:t>
            </w:r>
          </w:p>
          <w:p w14:paraId="23F7EFBC" w14:textId="24CDC102" w:rsidR="00B7794F" w:rsidRPr="008C0042" w:rsidRDefault="00B7794F" w:rsidP="00395EFD">
            <w:pPr>
              <w:jc w:val="center"/>
              <w:rPr>
                <w:sz w:val="16"/>
                <w:szCs w:val="16"/>
              </w:rPr>
            </w:pPr>
            <w:r w:rsidRPr="008C0042">
              <w:rPr>
                <w:sz w:val="16"/>
                <w:szCs w:val="16"/>
              </w:rPr>
              <w:t>Natalie Ray</w:t>
            </w:r>
          </w:p>
          <w:p w14:paraId="4A90873D" w14:textId="77777777" w:rsidR="00C75F7B" w:rsidRPr="00C75F7B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14:paraId="25A11CC8" w14:textId="77777777" w:rsidR="008650BF" w:rsidRPr="008013C4" w:rsidRDefault="008013C4" w:rsidP="00395EFD">
            <w:pPr>
              <w:rPr>
                <w:sz w:val="16"/>
                <w:szCs w:val="16"/>
              </w:rPr>
            </w:pPr>
            <w:r w:rsidRPr="008013C4">
              <w:rPr>
                <w:sz w:val="16"/>
                <w:szCs w:val="16"/>
              </w:rPr>
              <w:t>low income &amp;</w:t>
            </w:r>
            <w:r w:rsidR="008650BF" w:rsidRPr="008013C4">
              <w:rPr>
                <w:sz w:val="16"/>
                <w:szCs w:val="16"/>
              </w:rPr>
              <w:t xml:space="preserve"> Latino/a</w:t>
            </w:r>
          </w:p>
          <w:p w14:paraId="3486D103" w14:textId="364FD0B9" w:rsidR="00C75F7B" w:rsidRDefault="008650BF" w:rsidP="00395EFD">
            <w:pPr>
              <w:rPr>
                <w:b/>
              </w:rPr>
            </w:pPr>
            <w:r w:rsidRPr="008013C4">
              <w:rPr>
                <w:sz w:val="16"/>
                <w:szCs w:val="16"/>
              </w:rPr>
              <w:t>students</w:t>
            </w:r>
            <w:r w:rsidR="008013C4">
              <w:rPr>
                <w:sz w:val="16"/>
                <w:szCs w:val="16"/>
              </w:rPr>
              <w:t xml:space="preserve">; </w:t>
            </w:r>
            <w:r w:rsidR="00AC7F37">
              <w:rPr>
                <w:sz w:val="16"/>
                <w:szCs w:val="16"/>
              </w:rPr>
              <w:t xml:space="preserve">new Latino/a students; </w:t>
            </w:r>
            <w:r w:rsidRPr="008013C4">
              <w:rPr>
                <w:sz w:val="16"/>
                <w:szCs w:val="16"/>
              </w:rPr>
              <w:t>presentations &amp; materials in Spanish</w:t>
            </w:r>
            <w:r w:rsidR="008013C4">
              <w:rPr>
                <w:sz w:val="16"/>
                <w:szCs w:val="16"/>
              </w:rPr>
              <w:t xml:space="preserve">; </w:t>
            </w:r>
            <w:r w:rsidR="008013C4" w:rsidRPr="008013C4">
              <w:rPr>
                <w:sz w:val="16"/>
                <w:szCs w:val="16"/>
              </w:rPr>
              <w:t>hire/train outreach staf</w:t>
            </w:r>
            <w:r w:rsidR="008013C4">
              <w:rPr>
                <w:sz w:val="16"/>
                <w:szCs w:val="16"/>
              </w:rPr>
              <w:t xml:space="preserve">f and </w:t>
            </w:r>
            <w:r w:rsidR="008013C4" w:rsidRPr="008013C4">
              <w:rPr>
                <w:i/>
                <w:sz w:val="16"/>
                <w:szCs w:val="16"/>
              </w:rPr>
              <w:t>promotores</w:t>
            </w:r>
            <w:r w:rsidR="008013C4">
              <w:rPr>
                <w:sz w:val="16"/>
                <w:szCs w:val="16"/>
              </w:rPr>
              <w:t>; high schools,</w:t>
            </w:r>
            <w:r w:rsidR="00E178DA">
              <w:rPr>
                <w:sz w:val="16"/>
                <w:szCs w:val="16"/>
              </w:rPr>
              <w:t xml:space="preserve"> churches</w:t>
            </w:r>
            <w:r w:rsidR="002A7313">
              <w:rPr>
                <w:sz w:val="16"/>
                <w:szCs w:val="16"/>
              </w:rPr>
              <w:t>, community</w:t>
            </w:r>
            <w:r w:rsidR="00E178DA">
              <w:rPr>
                <w:sz w:val="16"/>
                <w:szCs w:val="16"/>
              </w:rPr>
              <w:t xml:space="preserve"> centers; bilingual classified staff to reach out to Latino/a students on campus</w:t>
            </w:r>
            <w:r w:rsidR="00112734">
              <w:rPr>
                <w:sz w:val="16"/>
                <w:szCs w:val="16"/>
              </w:rPr>
              <w:t>; launch a website</w:t>
            </w:r>
          </w:p>
        </w:tc>
        <w:tc>
          <w:tcPr>
            <w:tcW w:w="1594" w:type="dxa"/>
            <w:shd w:val="clear" w:color="auto" w:fill="auto"/>
          </w:tcPr>
          <w:p w14:paraId="330D1E22" w14:textId="77777777" w:rsidR="00C75F7B" w:rsidRPr="00C70371" w:rsidRDefault="00C70371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culturally inclusive orientation and activities</w:t>
            </w:r>
            <w:r w:rsidR="009E477D">
              <w:rPr>
                <w:sz w:val="16"/>
                <w:szCs w:val="16"/>
              </w:rPr>
              <w:t xml:space="preserve"> program for students, parents</w:t>
            </w:r>
            <w:r>
              <w:rPr>
                <w:sz w:val="16"/>
                <w:szCs w:val="16"/>
              </w:rPr>
              <w:t xml:space="preserve"> and family; in-person Student Success Day; on</w:t>
            </w:r>
            <w:r w:rsidR="00E178DA">
              <w:rPr>
                <w:sz w:val="16"/>
                <w:szCs w:val="16"/>
              </w:rPr>
              <w:t>line career exploration modules</w:t>
            </w:r>
          </w:p>
        </w:tc>
        <w:tc>
          <w:tcPr>
            <w:tcW w:w="1379" w:type="dxa"/>
            <w:shd w:val="clear" w:color="auto" w:fill="auto"/>
          </w:tcPr>
          <w:p w14:paraId="1949C11E" w14:textId="703FE922" w:rsidR="00C75F7B" w:rsidRPr="008013C4" w:rsidRDefault="008013C4" w:rsidP="00395EFD">
            <w:pPr>
              <w:rPr>
                <w:sz w:val="16"/>
                <w:szCs w:val="16"/>
              </w:rPr>
            </w:pPr>
            <w:r w:rsidRPr="008013C4">
              <w:rPr>
                <w:sz w:val="16"/>
                <w:szCs w:val="16"/>
              </w:rPr>
              <w:t>multiple</w:t>
            </w:r>
            <w:r w:rsidR="00AC7F37">
              <w:rPr>
                <w:sz w:val="16"/>
                <w:szCs w:val="16"/>
              </w:rPr>
              <w:t xml:space="preserve"> measures; assessment prep: </w:t>
            </w:r>
            <w:r w:rsidR="00AD397D">
              <w:rPr>
                <w:sz w:val="16"/>
                <w:szCs w:val="16"/>
              </w:rPr>
              <w:t xml:space="preserve">3-week </w:t>
            </w:r>
            <w:r w:rsidR="00AC7F37">
              <w:rPr>
                <w:sz w:val="16"/>
                <w:szCs w:val="16"/>
              </w:rPr>
              <w:t>summer boot camp</w:t>
            </w:r>
            <w:r w:rsidR="00982490">
              <w:rPr>
                <w:sz w:val="16"/>
                <w:szCs w:val="16"/>
              </w:rPr>
              <w:t xml:space="preserve">, </w:t>
            </w:r>
            <w:r w:rsidR="00AC7F37">
              <w:rPr>
                <w:sz w:val="16"/>
                <w:szCs w:val="16"/>
              </w:rPr>
              <w:t>online modules, in-person seminars, hybrid options, workshop</w:t>
            </w:r>
            <w:r w:rsidR="00AD397D">
              <w:rPr>
                <w:sz w:val="16"/>
                <w:szCs w:val="16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3D82494E" w14:textId="77777777" w:rsidR="00C75F7B" w:rsidRPr="00AC7F37" w:rsidRDefault="00E178DA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culturally relevant teaching and learning; </w:t>
            </w:r>
            <w:r w:rsidR="00AC7F37" w:rsidRPr="00AC7F37">
              <w:rPr>
                <w:sz w:val="16"/>
                <w:szCs w:val="16"/>
              </w:rPr>
              <w:t>First Year Experience</w:t>
            </w:r>
            <w:r w:rsidR="00AC7F37">
              <w:rPr>
                <w:sz w:val="16"/>
                <w:szCs w:val="16"/>
              </w:rPr>
              <w:t xml:space="preserve"> (FYE) program; Activities Scorecard; </w:t>
            </w:r>
            <w:r w:rsidR="00C70371">
              <w:rPr>
                <w:sz w:val="16"/>
                <w:szCs w:val="16"/>
              </w:rPr>
              <w:t xml:space="preserve">orientation activities; </w:t>
            </w:r>
            <w:r w:rsidR="005973DA">
              <w:rPr>
                <w:sz w:val="16"/>
                <w:szCs w:val="16"/>
              </w:rPr>
              <w:t xml:space="preserve">contextualized learning; range of Engagement Activities, i.e., cohort study groups, peer mentoring, Community Service Learning </w:t>
            </w:r>
          </w:p>
        </w:tc>
        <w:tc>
          <w:tcPr>
            <w:tcW w:w="2014" w:type="dxa"/>
            <w:shd w:val="clear" w:color="auto" w:fill="auto"/>
          </w:tcPr>
          <w:p w14:paraId="4A431206" w14:textId="77777777" w:rsidR="00C75F7B" w:rsidRPr="00AC7F37" w:rsidRDefault="000B17F3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peer mentoring; </w:t>
            </w:r>
            <w:r w:rsidR="00C70371">
              <w:rPr>
                <w:sz w:val="16"/>
                <w:szCs w:val="16"/>
              </w:rPr>
              <w:t xml:space="preserve">counseling;  First Year Seminar course as foundation for learning </w:t>
            </w:r>
            <w:r w:rsidR="005973DA">
              <w:rPr>
                <w:sz w:val="16"/>
                <w:szCs w:val="16"/>
              </w:rPr>
              <w:t>communities and place for Mindset Interventions</w:t>
            </w:r>
            <w:r w:rsidR="00C70371">
              <w:rPr>
                <w:sz w:val="16"/>
                <w:szCs w:val="16"/>
              </w:rPr>
              <w:t>;</w:t>
            </w:r>
            <w:r w:rsidR="005973DA">
              <w:rPr>
                <w:sz w:val="16"/>
                <w:szCs w:val="16"/>
              </w:rPr>
              <w:t xml:space="preserve"> faculty/staff/community mentors for 2</w:t>
            </w:r>
            <w:r w:rsidR="005973DA" w:rsidRPr="005973DA">
              <w:rPr>
                <w:sz w:val="16"/>
                <w:szCs w:val="16"/>
                <w:vertAlign w:val="superscript"/>
              </w:rPr>
              <w:t>nd</w:t>
            </w:r>
            <w:r w:rsidR="005973DA">
              <w:rPr>
                <w:sz w:val="16"/>
                <w:szCs w:val="16"/>
              </w:rPr>
              <w:t xml:space="preserve"> year students; Just-in-Time tutoring</w:t>
            </w:r>
            <w:r w:rsidR="00E178DA">
              <w:rPr>
                <w:sz w:val="16"/>
                <w:szCs w:val="16"/>
              </w:rPr>
              <w:t xml:space="preserve"> in LTRC</w:t>
            </w:r>
            <w:r w:rsidR="005973DA">
              <w:rPr>
                <w:sz w:val="16"/>
                <w:szCs w:val="16"/>
              </w:rPr>
              <w:t>; division-based student study centers &amp; tutoring workshops</w:t>
            </w:r>
          </w:p>
        </w:tc>
        <w:tc>
          <w:tcPr>
            <w:tcW w:w="1769" w:type="dxa"/>
            <w:shd w:val="clear" w:color="auto" w:fill="auto"/>
          </w:tcPr>
          <w:p w14:paraId="0A173E1C" w14:textId="77777777" w:rsidR="00C75F7B" w:rsidRPr="00AC7F37" w:rsidRDefault="00AC7F37" w:rsidP="00395EFD">
            <w:pPr>
              <w:rPr>
                <w:sz w:val="16"/>
                <w:szCs w:val="16"/>
              </w:rPr>
            </w:pPr>
            <w:r w:rsidRPr="00AC7F37">
              <w:rPr>
                <w:sz w:val="16"/>
                <w:szCs w:val="16"/>
              </w:rPr>
              <w:t>Accelerated</w:t>
            </w:r>
            <w:r>
              <w:rPr>
                <w:sz w:val="16"/>
                <w:szCs w:val="16"/>
              </w:rPr>
              <w:t xml:space="preserve"> developm</w:t>
            </w:r>
            <w:r w:rsidR="00C70371">
              <w:rPr>
                <w:sz w:val="16"/>
                <w:szCs w:val="16"/>
              </w:rPr>
              <w:t xml:space="preserve">ental English and math courses; </w:t>
            </w:r>
            <w:r w:rsidR="000B17F3">
              <w:rPr>
                <w:sz w:val="16"/>
                <w:szCs w:val="16"/>
              </w:rPr>
              <w:t>e</w:t>
            </w:r>
            <w:r w:rsidR="000B17F3" w:rsidRPr="00AC7F37">
              <w:rPr>
                <w:sz w:val="16"/>
                <w:szCs w:val="16"/>
              </w:rPr>
              <w:t>mbedded tutors</w:t>
            </w:r>
            <w:r w:rsidR="000B17F3">
              <w:rPr>
                <w:sz w:val="16"/>
                <w:szCs w:val="16"/>
              </w:rPr>
              <w:t xml:space="preserve">; </w:t>
            </w:r>
            <w:r w:rsidR="00C70371">
              <w:rPr>
                <w:sz w:val="16"/>
                <w:szCs w:val="16"/>
              </w:rPr>
              <w:t>Learning Communities;</w:t>
            </w:r>
            <w:r w:rsidR="005973DA">
              <w:rPr>
                <w:sz w:val="16"/>
                <w:szCs w:val="16"/>
              </w:rPr>
              <w:t xml:space="preserve"> </w:t>
            </w:r>
            <w:r w:rsidR="00E178DA">
              <w:rPr>
                <w:sz w:val="16"/>
                <w:szCs w:val="16"/>
              </w:rPr>
              <w:t>online and hybrid teaching and learning</w:t>
            </w:r>
          </w:p>
        </w:tc>
      </w:tr>
      <w:tr w:rsidR="00621C87" w14:paraId="79C89AEC" w14:textId="77777777" w:rsidTr="00395EFD">
        <w:trPr>
          <w:trHeight w:val="5221"/>
        </w:trPr>
        <w:tc>
          <w:tcPr>
            <w:tcW w:w="1518" w:type="dxa"/>
            <w:shd w:val="clear" w:color="auto" w:fill="D9D9D9" w:themeFill="background1" w:themeFillShade="D9"/>
          </w:tcPr>
          <w:p w14:paraId="48C2972F" w14:textId="1DE92C66" w:rsidR="004D73BB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6C2EC575" w14:textId="77777777" w:rsidR="006A4060" w:rsidRDefault="006A4060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748B3F21" w14:textId="77777777" w:rsidR="00B7794F" w:rsidRDefault="00B7794F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1D01CD40" w14:textId="77777777" w:rsidR="00B7794F" w:rsidRDefault="00B7794F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692BD841" w14:textId="77777777" w:rsidR="00B7794F" w:rsidRDefault="00B7794F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21424CE" w14:textId="77777777" w:rsidR="00B7794F" w:rsidRDefault="00B7794F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1D3B4910" w14:textId="77777777" w:rsidR="00395EFD" w:rsidRDefault="00395EF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066E9F1E" w14:textId="77777777" w:rsidR="00395EFD" w:rsidRDefault="00395EF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5CDAED21" w14:textId="77777777" w:rsidR="00395EFD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 xml:space="preserve">Foster </w:t>
            </w:r>
          </w:p>
          <w:p w14:paraId="5959FC1C" w14:textId="55C803C6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Youth</w:t>
            </w:r>
          </w:p>
          <w:p w14:paraId="6E73A7B5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</w:p>
          <w:p w14:paraId="491AA2ED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Contact:</w:t>
            </w:r>
          </w:p>
          <w:p w14:paraId="752E82BD" w14:textId="145A7CD5" w:rsidR="00B7794F" w:rsidRP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Mario Chacon</w:t>
            </w:r>
          </w:p>
          <w:p w14:paraId="6C299982" w14:textId="77777777" w:rsidR="00C75F7B" w:rsidRPr="00C75F7B" w:rsidRDefault="00C75F7B" w:rsidP="00395E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14:paraId="12F2FA2E" w14:textId="4B56E0BB" w:rsidR="00C75F7B" w:rsidRDefault="00D74D93" w:rsidP="00395EFD">
            <w:pPr>
              <w:rPr>
                <w:b/>
              </w:rPr>
            </w:pPr>
            <w:r w:rsidRPr="00D74D93">
              <w:rPr>
                <w:rFonts w:eastAsia="Times New Roman"/>
                <w:sz w:val="16"/>
                <w:szCs w:val="16"/>
              </w:rPr>
              <w:t xml:space="preserve">Foster Youth (FY) outreach conducted </w:t>
            </w:r>
            <w:r w:rsidR="00112734">
              <w:rPr>
                <w:rFonts w:eastAsia="Times New Roman"/>
                <w:sz w:val="16"/>
                <w:szCs w:val="16"/>
              </w:rPr>
              <w:t>at feeder high schools (</w:t>
            </w:r>
            <w:r w:rsidRPr="00D74D93">
              <w:rPr>
                <w:rFonts w:eastAsia="Times New Roman"/>
                <w:sz w:val="16"/>
                <w:szCs w:val="16"/>
              </w:rPr>
              <w:t>East County Alliance</w:t>
            </w:r>
            <w:r w:rsidR="00112734">
              <w:rPr>
                <w:rFonts w:eastAsia="Times New Roman"/>
                <w:sz w:val="16"/>
                <w:szCs w:val="16"/>
              </w:rPr>
              <w:t>)</w:t>
            </w:r>
            <w:r w:rsidRPr="00D74D93">
              <w:rPr>
                <w:rFonts w:eastAsia="Times New Roman"/>
                <w:sz w:val="16"/>
                <w:szCs w:val="16"/>
              </w:rPr>
              <w:t xml:space="preserve">, independent living centers and other locations and events coordinated with SD County Dept. of Social Services and other FY advocacy programs (i.e. College Connection Advisory </w:t>
            </w:r>
            <w:r w:rsidR="00112734">
              <w:rPr>
                <w:rFonts w:eastAsia="Times New Roman"/>
                <w:sz w:val="16"/>
                <w:szCs w:val="16"/>
              </w:rPr>
              <w:t xml:space="preserve">Council, Promises 2 Kids, etc.); </w:t>
            </w:r>
            <w:r w:rsidRPr="00D74D93">
              <w:rPr>
                <w:rFonts w:eastAsia="Times New Roman"/>
                <w:sz w:val="16"/>
                <w:szCs w:val="16"/>
              </w:rPr>
              <w:t>Guardian Scholars program</w:t>
            </w:r>
            <w:r w:rsidR="00112734">
              <w:rPr>
                <w:rFonts w:eastAsia="Times New Roman"/>
                <w:sz w:val="16"/>
                <w:szCs w:val="16"/>
              </w:rPr>
              <w:t xml:space="preserve"> outreach; SDSU</w:t>
            </w:r>
          </w:p>
        </w:tc>
        <w:tc>
          <w:tcPr>
            <w:tcW w:w="1594" w:type="dxa"/>
          </w:tcPr>
          <w:p w14:paraId="459D64C7" w14:textId="0C046740" w:rsidR="00D74D93" w:rsidRPr="00D74D93" w:rsidRDefault="00112734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</w:t>
            </w:r>
            <w:r w:rsidR="00D74D93" w:rsidRPr="00D74D93">
              <w:rPr>
                <w:rFonts w:eastAsia="Times New Roman"/>
                <w:sz w:val="16"/>
                <w:szCs w:val="16"/>
              </w:rPr>
              <w:t>opulation specific orientations for EOPS eligible FY, which will also comprise financial aid and Guardian Scholars p</w:t>
            </w:r>
            <w:r>
              <w:rPr>
                <w:rFonts w:eastAsia="Times New Roman"/>
                <w:sz w:val="16"/>
                <w:szCs w:val="16"/>
              </w:rPr>
              <w:t>rogram participation components; p</w:t>
            </w:r>
            <w:r w:rsidR="00D74D93" w:rsidRPr="00D74D93">
              <w:rPr>
                <w:rFonts w:eastAsia="Times New Roman"/>
                <w:sz w:val="16"/>
                <w:szCs w:val="16"/>
              </w:rPr>
              <w:t>riority finan</w:t>
            </w:r>
            <w:r>
              <w:rPr>
                <w:rFonts w:eastAsia="Times New Roman"/>
                <w:sz w:val="16"/>
                <w:szCs w:val="16"/>
              </w:rPr>
              <w:t>cial aid application processing; i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ndividual degree mapping and educational planning </w:t>
            </w:r>
          </w:p>
          <w:p w14:paraId="0E746432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754B94AC" w14:textId="77AC1214" w:rsidR="00D74D93" w:rsidRPr="00D74D93" w:rsidRDefault="00D74D93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 w:rsidRPr="00D74D93">
              <w:rPr>
                <w:rFonts w:eastAsia="Times New Roman"/>
                <w:sz w:val="16"/>
                <w:szCs w:val="16"/>
              </w:rPr>
              <w:t>FY students transitioning from high school encouraged to participate in CAFYES and the EOPS</w:t>
            </w:r>
            <w:r w:rsidR="00112734">
              <w:rPr>
                <w:rFonts w:eastAsia="Times New Roman"/>
                <w:sz w:val="16"/>
                <w:szCs w:val="16"/>
              </w:rPr>
              <w:t xml:space="preserve"> Summer Institute Program (SIP); b</w:t>
            </w:r>
            <w:r w:rsidRPr="00D74D93">
              <w:rPr>
                <w:rFonts w:eastAsia="Times New Roman"/>
                <w:sz w:val="16"/>
                <w:szCs w:val="16"/>
              </w:rPr>
              <w:t>ackpacks and school supplies provide</w:t>
            </w:r>
            <w:r w:rsidR="00112734">
              <w:rPr>
                <w:rFonts w:eastAsia="Times New Roman"/>
                <w:sz w:val="16"/>
                <w:szCs w:val="16"/>
              </w:rPr>
              <w:t>d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to Guardian Scho</w:t>
            </w:r>
            <w:r w:rsidR="00112734">
              <w:rPr>
                <w:rFonts w:eastAsia="Times New Roman"/>
                <w:sz w:val="16"/>
                <w:szCs w:val="16"/>
              </w:rPr>
              <w:t>lars program students;</w:t>
            </w:r>
            <w:r w:rsidRPr="00D74D93">
              <w:rPr>
                <w:rFonts w:eastAsia="Times New Roman"/>
                <w:sz w:val="16"/>
                <w:szCs w:val="16"/>
              </w:rPr>
              <w:t xml:space="preserve"> select CAFYES participants will participate in a Summer Bridge experience at SDSU</w:t>
            </w:r>
          </w:p>
          <w:p w14:paraId="22348F75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14:paraId="0059C185" w14:textId="5691C50D" w:rsidR="00D74D93" w:rsidRPr="00D74D93" w:rsidRDefault="00112734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  <w:r w:rsidR="00D74D93" w:rsidRPr="00D74D93">
              <w:rPr>
                <w:rFonts w:eastAsia="Times New Roman"/>
                <w:sz w:val="16"/>
                <w:szCs w:val="16"/>
              </w:rPr>
              <w:t>ulturally relevant teaching and learn</w:t>
            </w:r>
            <w:r>
              <w:rPr>
                <w:rFonts w:eastAsia="Times New Roman"/>
                <w:sz w:val="16"/>
                <w:szCs w:val="16"/>
              </w:rPr>
              <w:t xml:space="preserve">ing for FY students in EOPS SIP; field trips &amp; events for </w:t>
            </w:r>
            <w:r w:rsidR="00D74D93" w:rsidRPr="00D74D93">
              <w:rPr>
                <w:rFonts w:eastAsia="Times New Roman"/>
                <w:sz w:val="16"/>
                <w:szCs w:val="16"/>
              </w:rPr>
              <w:t>Guardian Scholars/CAFYES students</w:t>
            </w:r>
            <w:r w:rsidR="002A7313">
              <w:rPr>
                <w:rFonts w:eastAsia="Times New Roman"/>
                <w:sz w:val="16"/>
                <w:szCs w:val="16"/>
              </w:rPr>
              <w:t>;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 leadership training opportunities for student mentors</w:t>
            </w:r>
          </w:p>
          <w:p w14:paraId="5570454F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4" w:type="dxa"/>
          </w:tcPr>
          <w:p w14:paraId="27D7C1A0" w14:textId="6FCCD6B9" w:rsidR="00D74D93" w:rsidRPr="00D74D93" w:rsidRDefault="00112734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o</w:t>
            </w:r>
            <w:r w:rsidR="00D74D93" w:rsidRPr="00D74D93">
              <w:rPr>
                <w:rFonts w:eastAsia="Times New Roman"/>
                <w:sz w:val="16"/>
                <w:szCs w:val="16"/>
              </w:rPr>
              <w:t>ngoing personal,</w:t>
            </w:r>
            <w:r>
              <w:rPr>
                <w:rFonts w:eastAsia="Times New Roman"/>
                <w:sz w:val="16"/>
                <w:szCs w:val="16"/>
              </w:rPr>
              <w:t xml:space="preserve"> academic and career counseling;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 ma</w:t>
            </w:r>
            <w:r>
              <w:rPr>
                <w:rFonts w:eastAsia="Times New Roman"/>
                <w:sz w:val="16"/>
                <w:szCs w:val="16"/>
              </w:rPr>
              <w:t>ndatory course progress reports; student mentoring; life-skills workshops;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 tutoring </w:t>
            </w:r>
            <w:r>
              <w:rPr>
                <w:rFonts w:eastAsia="Times New Roman"/>
                <w:sz w:val="16"/>
                <w:szCs w:val="16"/>
              </w:rPr>
              <w:t xml:space="preserve">for FY students; 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Financial Aid snack bar and EOPS meal cards </w:t>
            </w:r>
            <w:r>
              <w:rPr>
                <w:rFonts w:eastAsia="Times New Roman"/>
                <w:sz w:val="16"/>
                <w:szCs w:val="16"/>
              </w:rPr>
              <w:t>for Guardian Scholars students; k</w:t>
            </w:r>
            <w:r w:rsidR="00D74D93" w:rsidRPr="00D74D93">
              <w:rPr>
                <w:rFonts w:eastAsia="Times New Roman"/>
                <w:sz w:val="16"/>
                <w:szCs w:val="16"/>
              </w:rPr>
              <w:t>ey services will also be provided to CAFYES and CARE program eli</w:t>
            </w:r>
            <w:r>
              <w:rPr>
                <w:rFonts w:eastAsia="Times New Roman"/>
                <w:sz w:val="16"/>
                <w:szCs w:val="16"/>
              </w:rPr>
              <w:t>gible FY single parent students; qualifying CAFYES s</w:t>
            </w:r>
            <w:r w:rsidR="00D74D93" w:rsidRPr="00D74D93">
              <w:rPr>
                <w:rFonts w:eastAsia="Times New Roman"/>
                <w:sz w:val="16"/>
                <w:szCs w:val="16"/>
              </w:rPr>
              <w:t>tudents will also participate in professional mentoring act</w:t>
            </w:r>
            <w:r>
              <w:rPr>
                <w:rFonts w:eastAsia="Times New Roman"/>
                <w:sz w:val="16"/>
                <w:szCs w:val="16"/>
              </w:rPr>
              <w:t>ivities, and receive M</w:t>
            </w:r>
            <w:r w:rsidR="00D74D93" w:rsidRPr="00D74D93">
              <w:rPr>
                <w:rFonts w:eastAsia="Times New Roman"/>
                <w:sz w:val="16"/>
                <w:szCs w:val="16"/>
              </w:rPr>
              <w:t xml:space="preserve">ental Health Support </w:t>
            </w:r>
          </w:p>
          <w:p w14:paraId="4F1FBE51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9" w:type="dxa"/>
          </w:tcPr>
          <w:p w14:paraId="50A1FCF6" w14:textId="77777777" w:rsidR="00D74D93" w:rsidRPr="00D74D93" w:rsidRDefault="00D74D93" w:rsidP="00395EFD">
            <w:pPr>
              <w:rPr>
                <w:rFonts w:eastAsia="Times New Roman"/>
                <w:color w:val="auto"/>
                <w:sz w:val="16"/>
                <w:szCs w:val="16"/>
              </w:rPr>
            </w:pPr>
            <w:r w:rsidRPr="00D74D93">
              <w:rPr>
                <w:rFonts w:eastAsia="Times New Roman"/>
                <w:sz w:val="16"/>
                <w:szCs w:val="16"/>
              </w:rPr>
              <w:t>CAFYES students will receive basic skills course tutoring support on an ongoing basis</w:t>
            </w:r>
          </w:p>
          <w:p w14:paraId="0FD5025E" w14:textId="77777777" w:rsidR="00C75F7B" w:rsidRPr="00D74D93" w:rsidRDefault="00C75F7B" w:rsidP="00395EF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21C87" w14:paraId="0301B8E0" w14:textId="77777777" w:rsidTr="00395EFD">
        <w:trPr>
          <w:trHeight w:val="1527"/>
        </w:trPr>
        <w:tc>
          <w:tcPr>
            <w:tcW w:w="1518" w:type="dxa"/>
            <w:shd w:val="clear" w:color="auto" w:fill="D9D9D9" w:themeFill="background1" w:themeFillShade="D9"/>
          </w:tcPr>
          <w:p w14:paraId="1FEC5A94" w14:textId="77777777" w:rsidR="004D73BB" w:rsidRPr="00714A34" w:rsidRDefault="004D73BB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6B28D9CC" w14:textId="77777777" w:rsidR="00015CC2" w:rsidRDefault="00015CC2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1FAC66A0" w14:textId="77777777" w:rsidR="00B463ED" w:rsidRDefault="00B463E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33E9D899" w14:textId="77777777" w:rsidR="00B463ED" w:rsidRDefault="00B463ED" w:rsidP="00395EFD">
            <w:pPr>
              <w:jc w:val="center"/>
              <w:rPr>
                <w:b/>
                <w:sz w:val="20"/>
                <w:szCs w:val="20"/>
              </w:rPr>
            </w:pPr>
          </w:p>
          <w:p w14:paraId="2798582C" w14:textId="77777777" w:rsidR="002A7313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 xml:space="preserve">East </w:t>
            </w:r>
          </w:p>
          <w:p w14:paraId="155917C7" w14:textId="1A7B524C" w:rsidR="00C75F7B" w:rsidRPr="002A7313" w:rsidRDefault="00C75F7B" w:rsidP="00395EFD">
            <w:pPr>
              <w:jc w:val="center"/>
              <w:rPr>
                <w:b/>
                <w:sz w:val="24"/>
                <w:szCs w:val="24"/>
              </w:rPr>
            </w:pPr>
            <w:r w:rsidRPr="002A7313">
              <w:rPr>
                <w:b/>
                <w:sz w:val="24"/>
                <w:szCs w:val="24"/>
              </w:rPr>
              <w:t>County Alliance</w:t>
            </w:r>
          </w:p>
          <w:p w14:paraId="4C994833" w14:textId="77777777" w:rsidR="00CC4DF8" w:rsidRDefault="00CC4DF8" w:rsidP="00395EFD">
            <w:pPr>
              <w:jc w:val="center"/>
              <w:rPr>
                <w:sz w:val="16"/>
                <w:szCs w:val="16"/>
              </w:rPr>
            </w:pPr>
          </w:p>
          <w:p w14:paraId="796032E9" w14:textId="77777777" w:rsidR="00B7794F" w:rsidRDefault="00B7794F" w:rsidP="00395EFD">
            <w:pPr>
              <w:jc w:val="center"/>
              <w:rPr>
                <w:sz w:val="16"/>
                <w:szCs w:val="16"/>
              </w:rPr>
            </w:pPr>
            <w:r w:rsidRPr="00B7794F">
              <w:rPr>
                <w:sz w:val="16"/>
                <w:szCs w:val="16"/>
              </w:rPr>
              <w:t>Contact:</w:t>
            </w:r>
          </w:p>
          <w:p w14:paraId="495BA992" w14:textId="35EE0F96" w:rsidR="002C0CBA" w:rsidRPr="00B7794F" w:rsidRDefault="002C0CBA" w:rsidP="00395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5C851CA8" w14:textId="4183D3C6" w:rsidR="00C75F7B" w:rsidRPr="00714A34" w:rsidRDefault="00714A34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Grossmont Union High School District</w:t>
            </w:r>
            <w:r w:rsidR="00621C87">
              <w:rPr>
                <w:sz w:val="16"/>
                <w:szCs w:val="16"/>
              </w:rPr>
              <w:t xml:space="preserve"> collaboration and outreach; launch</w:t>
            </w:r>
            <w:r w:rsidR="009E70CD">
              <w:rPr>
                <w:sz w:val="16"/>
                <w:szCs w:val="16"/>
              </w:rPr>
              <w:t xml:space="preserve"> </w:t>
            </w:r>
            <w:r w:rsidR="00621C87">
              <w:rPr>
                <w:sz w:val="16"/>
                <w:szCs w:val="16"/>
              </w:rPr>
              <w:t xml:space="preserve">comprehensive </w:t>
            </w:r>
            <w:r w:rsidR="009E70CD">
              <w:rPr>
                <w:sz w:val="16"/>
                <w:szCs w:val="16"/>
              </w:rPr>
              <w:t>website</w:t>
            </w:r>
            <w:r w:rsidR="00621C87">
              <w:rPr>
                <w:sz w:val="16"/>
                <w:szCs w:val="16"/>
              </w:rPr>
              <w:t>;</w:t>
            </w:r>
            <w:r w:rsidR="009E70CD">
              <w:rPr>
                <w:sz w:val="16"/>
                <w:szCs w:val="16"/>
              </w:rPr>
              <w:t xml:space="preserve"> </w:t>
            </w:r>
            <w:r w:rsidR="00621C87">
              <w:rPr>
                <w:sz w:val="16"/>
                <w:szCs w:val="16"/>
              </w:rPr>
              <w:t>parent</w:t>
            </w:r>
            <w:r w:rsidR="00B7794F">
              <w:rPr>
                <w:sz w:val="16"/>
                <w:szCs w:val="16"/>
              </w:rPr>
              <w:t xml:space="preserve"> workforce engagement</w:t>
            </w:r>
            <w:r w:rsidR="00CC4DF8">
              <w:rPr>
                <w:sz w:val="16"/>
                <w:szCs w:val="16"/>
              </w:rPr>
              <w:t>; ambassadors</w:t>
            </w:r>
            <w:r w:rsidR="002C0CBA">
              <w:rPr>
                <w:sz w:val="16"/>
                <w:szCs w:val="16"/>
              </w:rPr>
              <w:t xml:space="preserve">; The Promise </w:t>
            </w:r>
          </w:p>
        </w:tc>
        <w:tc>
          <w:tcPr>
            <w:tcW w:w="1594" w:type="dxa"/>
            <w:shd w:val="clear" w:color="auto" w:fill="auto"/>
          </w:tcPr>
          <w:p w14:paraId="79A931F8" w14:textId="04712CD4" w:rsidR="00C75F7B" w:rsidRPr="00714A34" w:rsidRDefault="00714A34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714A34">
              <w:rPr>
                <w:sz w:val="16"/>
                <w:szCs w:val="16"/>
              </w:rPr>
              <w:t>nform students about college and career options</w:t>
            </w:r>
            <w:r w:rsidR="009E70CD">
              <w:rPr>
                <w:sz w:val="16"/>
                <w:szCs w:val="16"/>
              </w:rPr>
              <w:t>; raise scholarship funds for students who commit to goals that prepare them for college or a career</w:t>
            </w:r>
          </w:p>
        </w:tc>
        <w:tc>
          <w:tcPr>
            <w:tcW w:w="1379" w:type="dxa"/>
            <w:shd w:val="clear" w:color="auto" w:fill="auto"/>
          </w:tcPr>
          <w:p w14:paraId="6AEEE83C" w14:textId="5583A6D6" w:rsidR="00B463ED" w:rsidRPr="009E70CD" w:rsidRDefault="00FF764B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readiness</w:t>
            </w:r>
            <w:r w:rsidR="009E70CD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cur</w:t>
            </w:r>
            <w:r w:rsidR="00CC4DF8">
              <w:rPr>
                <w:sz w:val="16"/>
                <w:szCs w:val="16"/>
              </w:rPr>
              <w:t>riculum alignment in English &amp;</w:t>
            </w:r>
            <w:r>
              <w:rPr>
                <w:sz w:val="16"/>
                <w:szCs w:val="16"/>
              </w:rPr>
              <w:t xml:space="preserve"> math</w:t>
            </w:r>
            <w:r w:rsidR="00621C87">
              <w:rPr>
                <w:sz w:val="16"/>
                <w:szCs w:val="16"/>
              </w:rPr>
              <w:t>,</w:t>
            </w:r>
            <w:r w:rsidR="00CC4DF8">
              <w:rPr>
                <w:sz w:val="16"/>
                <w:szCs w:val="16"/>
              </w:rPr>
              <w:t xml:space="preserve"> extend to</w:t>
            </w:r>
            <w:r>
              <w:rPr>
                <w:sz w:val="16"/>
                <w:szCs w:val="16"/>
              </w:rPr>
              <w:t xml:space="preserve"> other subjects and areas; </w:t>
            </w:r>
            <w:r w:rsidR="009E70CD" w:rsidRPr="00FF764B">
              <w:rPr>
                <w:sz w:val="16"/>
                <w:szCs w:val="16"/>
              </w:rPr>
              <w:t>raise scholarship funds for students who commit to goa</w:t>
            </w:r>
            <w:r w:rsidR="00CC4DF8">
              <w:rPr>
                <w:sz w:val="16"/>
                <w:szCs w:val="16"/>
              </w:rPr>
              <w:t>ls that prepare them for college/</w:t>
            </w:r>
            <w:r w:rsidRPr="00FF764B">
              <w:rPr>
                <w:sz w:val="16"/>
                <w:szCs w:val="16"/>
              </w:rPr>
              <w:t>career; multiple measures; assessment prep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6A502A6C" w14:textId="67CB7C6C" w:rsidR="00C75F7B" w:rsidRPr="00FF764B" w:rsidRDefault="00FF764B" w:rsidP="00395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student engagement; </w:t>
            </w:r>
            <w:r w:rsidRPr="00FF764B">
              <w:rPr>
                <w:i/>
                <w:sz w:val="16"/>
                <w:szCs w:val="16"/>
              </w:rPr>
              <w:t>Got Plans</w:t>
            </w:r>
            <w:r w:rsidR="00B7794F">
              <w:rPr>
                <w:i/>
                <w:sz w:val="16"/>
                <w:szCs w:val="16"/>
              </w:rPr>
              <w:t>! College and Career Fair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14:paraId="20786F57" w14:textId="04D18295" w:rsidR="00C75F7B" w:rsidRDefault="00B7794F" w:rsidP="00395EFD">
            <w:pPr>
              <w:rPr>
                <w:b/>
              </w:rPr>
            </w:pPr>
            <w:r>
              <w:rPr>
                <w:sz w:val="16"/>
                <w:szCs w:val="16"/>
              </w:rPr>
              <w:t>increase programs allowing high school students to take college classes</w:t>
            </w:r>
          </w:p>
        </w:tc>
        <w:tc>
          <w:tcPr>
            <w:tcW w:w="1769" w:type="dxa"/>
            <w:shd w:val="clear" w:color="auto" w:fill="auto"/>
          </w:tcPr>
          <w:p w14:paraId="47542AFB" w14:textId="77777777" w:rsidR="00C75F7B" w:rsidRDefault="00C75F7B" w:rsidP="00395EFD">
            <w:pPr>
              <w:jc w:val="center"/>
              <w:rPr>
                <w:b/>
              </w:rPr>
            </w:pPr>
          </w:p>
        </w:tc>
      </w:tr>
    </w:tbl>
    <w:p w14:paraId="060ED3C8" w14:textId="04C43184" w:rsidR="00B463ED" w:rsidRPr="00265630" w:rsidRDefault="00395EFD" w:rsidP="00265630">
      <w:pPr>
        <w:ind w:firstLine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0FEB95" wp14:editId="338F580C">
            <wp:simplePos x="0" y="0"/>
            <wp:positionH relativeFrom="page">
              <wp:posOffset>594360</wp:posOffset>
            </wp:positionH>
            <wp:positionV relativeFrom="page">
              <wp:posOffset>708660</wp:posOffset>
            </wp:positionV>
            <wp:extent cx="363855" cy="499745"/>
            <wp:effectExtent l="0" t="0" r="0" b="8255"/>
            <wp:wrapTight wrapText="bothSides">
              <wp:wrapPolygon edited="0">
                <wp:start x="0" y="0"/>
                <wp:lineTo x="0" y="14272"/>
                <wp:lineTo x="6031" y="20859"/>
                <wp:lineTo x="13571" y="20859"/>
                <wp:lineTo x="18094" y="18663"/>
                <wp:lineTo x="19602" y="10978"/>
                <wp:lineTo x="19602" y="0"/>
                <wp:lineTo x="0" y="0"/>
              </wp:wrapPolygon>
            </wp:wrapTight>
            <wp:docPr id="4" name="Picture 4" descr="Macintish HD:Users:sydneybrown:Desktop:GC Logo Colo 300 dpi 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ish HD:Users:sydneybrown:Desktop:GC Logo Colo 300 dpi 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2333" b="97333" l="35048" r="66714">
                                  <a14:foregroundMark x1="42333" y1="51083" x2="42333" y2="510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5" t="39840" r="36624" b="6130"/>
                    <a:stretch/>
                  </pic:blipFill>
                  <pic:spPr bwMode="auto">
                    <a:xfrm>
                      <a:off x="0" y="0"/>
                      <a:ext cx="3638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3ED" w:rsidRPr="00265630" w:rsidSect="00395EFD">
      <w:headerReference w:type="even" r:id="rId12"/>
      <w:headerReference w:type="default" r:id="rId13"/>
      <w:headerReference w:type="first" r:id="rId14"/>
      <w:pgSz w:w="12240" w:h="15840"/>
      <w:pgMar w:top="576" w:right="576" w:bottom="576" w:left="5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684FE" w14:textId="77777777" w:rsidR="003E05A3" w:rsidRDefault="003E05A3" w:rsidP="00C75F7B">
      <w:pPr>
        <w:spacing w:line="240" w:lineRule="auto"/>
      </w:pPr>
      <w:r>
        <w:separator/>
      </w:r>
    </w:p>
  </w:endnote>
  <w:endnote w:type="continuationSeparator" w:id="0">
    <w:p w14:paraId="2D7F0508" w14:textId="77777777" w:rsidR="003E05A3" w:rsidRDefault="003E05A3" w:rsidP="00C75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74728" w14:textId="77777777" w:rsidR="003E05A3" w:rsidRDefault="003E05A3" w:rsidP="00C75F7B">
      <w:pPr>
        <w:spacing w:line="240" w:lineRule="auto"/>
      </w:pPr>
      <w:r>
        <w:separator/>
      </w:r>
    </w:p>
  </w:footnote>
  <w:footnote w:type="continuationSeparator" w:id="0">
    <w:p w14:paraId="5D809D68" w14:textId="77777777" w:rsidR="003E05A3" w:rsidRDefault="003E05A3" w:rsidP="00C75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44906" w14:textId="77777777" w:rsidR="00C673FD" w:rsidRDefault="00C673FD" w:rsidP="00621C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2622A" w14:textId="77777777" w:rsidR="00C673FD" w:rsidRDefault="00C673FD" w:rsidP="00C75F7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5644" w14:textId="77777777" w:rsidR="00C673FD" w:rsidRPr="00D74D93" w:rsidRDefault="00C673FD" w:rsidP="00621C87">
    <w:pPr>
      <w:pStyle w:val="Header"/>
      <w:framePr w:wrap="around" w:vAnchor="text" w:hAnchor="margin" w:xAlign="right" w:y="1"/>
      <w:rPr>
        <w:rStyle w:val="PageNumber"/>
        <w:sz w:val="16"/>
        <w:szCs w:val="16"/>
      </w:rPr>
    </w:pPr>
    <w:r w:rsidRPr="00D74D93">
      <w:rPr>
        <w:rStyle w:val="PageNumber"/>
        <w:sz w:val="16"/>
        <w:szCs w:val="16"/>
      </w:rPr>
      <w:fldChar w:fldCharType="begin"/>
    </w:r>
    <w:r w:rsidRPr="00D74D93">
      <w:rPr>
        <w:rStyle w:val="PageNumber"/>
        <w:sz w:val="16"/>
        <w:szCs w:val="16"/>
      </w:rPr>
      <w:instrText xml:space="preserve">PAGE  </w:instrText>
    </w:r>
    <w:r w:rsidRPr="00D74D93">
      <w:rPr>
        <w:rStyle w:val="PageNumber"/>
        <w:sz w:val="16"/>
        <w:szCs w:val="16"/>
      </w:rPr>
      <w:fldChar w:fldCharType="separate"/>
    </w:r>
    <w:r w:rsidR="00673740">
      <w:rPr>
        <w:rStyle w:val="PageNumber"/>
        <w:noProof/>
        <w:sz w:val="16"/>
        <w:szCs w:val="16"/>
      </w:rPr>
      <w:t>2</w:t>
    </w:r>
    <w:r w:rsidRPr="00D74D93">
      <w:rPr>
        <w:rStyle w:val="PageNumber"/>
        <w:sz w:val="16"/>
        <w:szCs w:val="16"/>
      </w:rPr>
      <w:fldChar w:fldCharType="end"/>
    </w:r>
  </w:p>
  <w:p w14:paraId="1FC95B94" w14:textId="56CFC628" w:rsidR="00C673FD" w:rsidRPr="00CC4DF8" w:rsidRDefault="00C673FD" w:rsidP="00265630">
    <w:pPr>
      <w:pStyle w:val="Header"/>
      <w:ind w:right="360"/>
      <w:rPr>
        <w:color w:val="FFFFFF" w:themeColor="background1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D1D1" w14:textId="34823F18" w:rsidR="00C673FD" w:rsidRDefault="00C673FD" w:rsidP="00621C87">
    <w:pPr>
      <w:pStyle w:val="Header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42D6"/>
    <w:multiLevelType w:val="hybridMultilevel"/>
    <w:tmpl w:val="04241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86CE2"/>
    <w:multiLevelType w:val="hybridMultilevel"/>
    <w:tmpl w:val="D3FA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47D4"/>
    <w:rsid w:val="00015CC2"/>
    <w:rsid w:val="00050DA8"/>
    <w:rsid w:val="000B17F3"/>
    <w:rsid w:val="000B48C7"/>
    <w:rsid w:val="00112734"/>
    <w:rsid w:val="001967F7"/>
    <w:rsid w:val="001D41F0"/>
    <w:rsid w:val="002340FC"/>
    <w:rsid w:val="00265630"/>
    <w:rsid w:val="002A7313"/>
    <w:rsid w:val="002C0CBA"/>
    <w:rsid w:val="002D5B56"/>
    <w:rsid w:val="003238CD"/>
    <w:rsid w:val="00390986"/>
    <w:rsid w:val="00395EFD"/>
    <w:rsid w:val="003E05A3"/>
    <w:rsid w:val="00470ABC"/>
    <w:rsid w:val="00496D2F"/>
    <w:rsid w:val="004B15FE"/>
    <w:rsid w:val="004C4E8F"/>
    <w:rsid w:val="004D73BB"/>
    <w:rsid w:val="00507183"/>
    <w:rsid w:val="005973DA"/>
    <w:rsid w:val="00621C87"/>
    <w:rsid w:val="00673740"/>
    <w:rsid w:val="006A4060"/>
    <w:rsid w:val="00714A34"/>
    <w:rsid w:val="007D2056"/>
    <w:rsid w:val="007E33ED"/>
    <w:rsid w:val="008013C4"/>
    <w:rsid w:val="00851DB0"/>
    <w:rsid w:val="008650BF"/>
    <w:rsid w:val="008B6DCE"/>
    <w:rsid w:val="008C0042"/>
    <w:rsid w:val="008D1D32"/>
    <w:rsid w:val="00982490"/>
    <w:rsid w:val="009E477D"/>
    <w:rsid w:val="009E70CD"/>
    <w:rsid w:val="009E711A"/>
    <w:rsid w:val="009F229A"/>
    <w:rsid w:val="00AC7F37"/>
    <w:rsid w:val="00AD397D"/>
    <w:rsid w:val="00B347D4"/>
    <w:rsid w:val="00B463ED"/>
    <w:rsid w:val="00B7794F"/>
    <w:rsid w:val="00BF0C19"/>
    <w:rsid w:val="00C673FD"/>
    <w:rsid w:val="00C70371"/>
    <w:rsid w:val="00C75F7B"/>
    <w:rsid w:val="00CB248C"/>
    <w:rsid w:val="00CC4DF8"/>
    <w:rsid w:val="00CD2FCB"/>
    <w:rsid w:val="00D74D93"/>
    <w:rsid w:val="00E178DA"/>
    <w:rsid w:val="00E17DCC"/>
    <w:rsid w:val="00F77919"/>
    <w:rsid w:val="00F816DC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3A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CD2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F7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7B"/>
  </w:style>
  <w:style w:type="character" w:styleId="PageNumber">
    <w:name w:val="page number"/>
    <w:basedOn w:val="DefaultParagraphFont"/>
    <w:uiPriority w:val="99"/>
    <w:semiHidden/>
    <w:unhideWhenUsed/>
    <w:rsid w:val="00C75F7B"/>
  </w:style>
  <w:style w:type="paragraph" w:styleId="Footer">
    <w:name w:val="footer"/>
    <w:basedOn w:val="Normal"/>
    <w:link w:val="FooterChar"/>
    <w:uiPriority w:val="99"/>
    <w:unhideWhenUsed/>
    <w:rsid w:val="00C75F7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7B"/>
  </w:style>
  <w:style w:type="table" w:styleId="MediumList2">
    <w:name w:val="Medium List 2"/>
    <w:basedOn w:val="TableNormal"/>
    <w:uiPriority w:val="66"/>
    <w:rsid w:val="000B48C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0B48C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0B48C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">
    <w:name w:val="Colorful Grid"/>
    <w:basedOn w:val="TableNormal"/>
    <w:uiPriority w:val="73"/>
    <w:rsid w:val="000B48C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uiPriority w:val="34"/>
    <w:qFormat/>
    <w:rsid w:val="00865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7F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CD2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F7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7B"/>
  </w:style>
  <w:style w:type="character" w:styleId="PageNumber">
    <w:name w:val="page number"/>
    <w:basedOn w:val="DefaultParagraphFont"/>
    <w:uiPriority w:val="99"/>
    <w:semiHidden/>
    <w:unhideWhenUsed/>
    <w:rsid w:val="00C75F7B"/>
  </w:style>
  <w:style w:type="paragraph" w:styleId="Footer">
    <w:name w:val="footer"/>
    <w:basedOn w:val="Normal"/>
    <w:link w:val="FooterChar"/>
    <w:uiPriority w:val="99"/>
    <w:unhideWhenUsed/>
    <w:rsid w:val="00C75F7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7B"/>
  </w:style>
  <w:style w:type="table" w:styleId="MediumList2">
    <w:name w:val="Medium List 2"/>
    <w:basedOn w:val="TableNormal"/>
    <w:uiPriority w:val="66"/>
    <w:rsid w:val="000B48C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0B48C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0B48C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">
    <w:name w:val="Colorful Grid"/>
    <w:basedOn w:val="TableNormal"/>
    <w:uiPriority w:val="73"/>
    <w:rsid w:val="000B48C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uiPriority w:val="34"/>
    <w:qFormat/>
    <w:rsid w:val="00865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7F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E11C9-6B36-4C72-AA7A-482A63CA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Hurvitz</dc:creator>
  <cp:lastModifiedBy>Tate Hurvitz</cp:lastModifiedBy>
  <cp:revision>2</cp:revision>
  <cp:lastPrinted>2015-12-11T09:10:00Z</cp:lastPrinted>
  <dcterms:created xsi:type="dcterms:W3CDTF">2016-03-01T18:14:00Z</dcterms:created>
  <dcterms:modified xsi:type="dcterms:W3CDTF">2016-03-01T18:14:00Z</dcterms:modified>
</cp:coreProperties>
</file>