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8.35449218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3123209" cy="75374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23209" cy="7537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ffffff"/>
          <w:sz w:val="28.079999923706055"/>
          <w:szCs w:val="28.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8.079999923706055"/>
          <w:szCs w:val="28.079999923706055"/>
          <w:u w:val="none"/>
          <w:shd w:fill="auto" w:val="clear"/>
          <w:vertAlign w:val="baseline"/>
          <w:rtl w:val="0"/>
        </w:rPr>
        <w:t xml:space="preserve">POLICY &amp; PROCEDURE SERVICE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30615234375" w:line="231.5071678161621" w:lineRule="auto"/>
        <w:ind w:left="1467.7728271484375" w:right="1161.463623046875" w:hanging="1439.9113464355469"/>
        <w:jc w:val="left"/>
        <w:rPr>
          <w:rFonts w:ascii="Arial" w:cs="Arial" w:eastAsia="Arial" w:hAnsi="Arial"/>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920000076293945"/>
          <w:szCs w:val="31.920000076293945"/>
          <w:u w:val="none"/>
          <w:shd w:fill="auto" w:val="clear"/>
          <w:vertAlign w:val="baseline"/>
          <w:rtl w:val="0"/>
        </w:rPr>
        <w:t xml:space="preserve">BP 5040 Student Records, Directory Information, and  Privacy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5537109375" w:line="240" w:lineRule="auto"/>
        <w:ind w:left="22.0799255371093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References: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3.51989746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Education Code Sections 66271.4 et seq. and 76200 et seq.;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07995605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Title 5 Sections 54600 et seq.;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520233154296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 U.S. Code Section 1232g subdivision (j);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4.560394287109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ACCJC Accreditation Standard II.C.8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8701171875" w:line="240" w:lineRule="auto"/>
        <w:ind w:left="22.319946289062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NOTE: </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This policy is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legally required</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13.199920654296875" w:right="0.00732421875" w:hanging="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CEO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shall assure that student records are maintained in compliance with  applicable federal and state laws relating to the privacy of student records.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11.99981689453125" w:right="0.030517578125" w:hanging="1.919860839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CEO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may direct the implementation of appropriate safeguards to assure that  student records cannot be accessed or modified by any person not authorized to do so.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1.999969482421875" w:right="0.003662109375" w:hanging="7.4400329589843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currently enrolled or former student of the District has a right of access to any and all  student records relating to him/her/them maintained by the District. The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CEO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shall  implement a system by which current students can declare an affirmed name, gender, or  both name and gender identification to be used in their records where legal names are  not required by law. Upon the request of a current student, the District shall update any  records for the student to include the affirmed name, gender, or both name and gender  identification. The records that shall be updated include but are not limited to District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2.480010986328125" w:right="0" w:firstLine="7.919921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issued email addresses, student identification cards, class rosters, transcripts, diplomas,  certificates of completion of courses, or similar records. Upon request by a former student  of the District, the District will update and reissue student records to include an updated  legal name or gender. These documents include but are not limited to transcripts or a  diploma.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0.0799560546875" w:right="0.0244140625" w:hanging="2.6399230957031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District cannot require a current student to provide legal documentation to  demonstrate a legal name or gender change in order to have the student’s affirmed name  listed on the student’s records.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87029266357" w:lineRule="auto"/>
        <w:ind w:left="12.480010986328125" w:right="0.025634765625" w:firstLine="10.319976806640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District representative shall release the contents of a student record to any member  of the public without the prior written consent of the student, other than directory  information as defined in this policy and information sought pursuant to a court order or  lawfully issued subpoena, or as otherwise authorized by applicable federal and state laws.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12.719879150390625" w:right="0.001220703125" w:firstLine="2.640075683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shall be notified of their rights with respect to student records, including the  definition of directory information contained here, and that they may limit the information.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300048828125" w:line="230.63062191009521" w:lineRule="auto"/>
        <w:ind w:left="10.535888671875" w:right="21.068115234375" w:firstLine="8.36639404296875"/>
        <w:jc w:val="left"/>
        <w:rPr>
          <w:rFonts w:ascii="Arial" w:cs="Arial" w:eastAsia="Arial" w:hAnsi="Arial"/>
          <w:b w:val="0"/>
          <w:bCs w:val="0"/>
          <w:i w:val="1"/>
          <w:iCs w:val="1"/>
          <w:smallCaps w:val="0"/>
          <w:strike w:val="0"/>
          <w:color w:val="000000"/>
          <w:sz w:val="19.920000076293945"/>
          <w:szCs w:val="19.920000076293945"/>
          <w:highlight w:val="white"/>
          <w:u w:val="none"/>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highlight w:val="white"/>
          <w:u w:val="none"/>
          <w:vertAlign w:val="baseline"/>
          <w:rtl w:val="0"/>
        </w:rPr>
        <w:t xml:space="preserve">Disclaimer: </w:t>
      </w:r>
      <w:r w:rsidDel="00000000" w:rsidR="00000000" w:rsidRPr="00000000">
        <w:rPr>
          <w:rFonts w:ascii="Arial" w:cs="Arial" w:eastAsia="Arial" w:hAnsi="Arial"/>
          <w:b w:val="0"/>
          <w:bCs w:val="0"/>
          <w:i w:val="1"/>
          <w:iCs w:val="1"/>
          <w:smallCaps w:val="0"/>
          <w:strike w:val="0"/>
          <w:color w:val="000000"/>
          <w:sz w:val="19.920000076293945"/>
          <w:szCs w:val="19.920000076293945"/>
          <w:highlight w:val="white"/>
          <w:u w:val="none"/>
          <w:vertAlign w:val="baseline"/>
          <w:rtl w:val="0"/>
        </w:rPr>
        <w:t xml:space="preserve">This document is provided as a benefit to Community College League of California’s Policy </w:t>
      </w: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9.920000076293945"/>
          <w:szCs w:val="19.920000076293945"/>
          <w:highlight w:val="white"/>
          <w:u w:val="none"/>
          <w:vertAlign w:val="baseline"/>
          <w:rtl w:val="0"/>
        </w:rPr>
        <w:t xml:space="preserve">&amp; Procedure Service subscribers and cannot be shared outside of their district. The information </w:t>
      </w: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9.920000076293945"/>
          <w:szCs w:val="19.920000076293945"/>
          <w:highlight w:val="white"/>
          <w:u w:val="none"/>
          <w:vertAlign w:val="baseline"/>
          <w:rtl w:val="0"/>
        </w:rPr>
        <w:t xml:space="preserve">contained within is a sample only and is not designed to address each district’s specific and unique </w:t>
      </w: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9.920000076293945"/>
          <w:szCs w:val="19.920000076293945"/>
          <w:highlight w:val="white"/>
          <w:u w:val="none"/>
          <w:vertAlign w:val="baseline"/>
          <w:rtl w:val="0"/>
        </w:rPr>
        <w:t xml:space="preserve">issues, internal rules or practices, or governing documents that might be in place at each district. Districts </w:t>
      </w: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9.920000076293945"/>
          <w:szCs w:val="19.920000076293945"/>
          <w:highlight w:val="white"/>
          <w:u w:val="none"/>
          <w:vertAlign w:val="baseline"/>
          <w:rtl w:val="0"/>
        </w:rPr>
        <w:t xml:space="preserve">should always consult with local District legal counsel prior to implementation.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8.3544921875" w:firstLine="0"/>
        <w:jc w:val="right"/>
        <w:rPr>
          <w:rFonts w:ascii="Arial" w:cs="Arial" w:eastAsia="Arial" w:hAnsi="Arial"/>
          <w:b w:val="0"/>
          <w:bCs w:val="0"/>
          <w:i w:val="1"/>
          <w:iCs w:val="1"/>
          <w:smallCaps w:val="0"/>
          <w:strike w:val="0"/>
          <w:color w:val="000000"/>
          <w:sz w:val="19.920000076293945"/>
          <w:szCs w:val="19.920000076293945"/>
          <w:highlight w:val="white"/>
          <w:u w:val="none"/>
          <w:vertAlign w:val="baseline"/>
        </w:rPr>
      </w:pPr>
      <w:r w:rsidDel="00000000" w:rsidR="00000000" w:rsidRPr="00000000">
        <w:rPr>
          <w:rFonts w:ascii="Arial" w:cs="Arial" w:eastAsia="Arial" w:hAnsi="Arial"/>
          <w:b w:val="0"/>
          <w:bCs w:val="0"/>
          <w:i w:val="1"/>
          <w:iCs w:val="1"/>
          <w:smallCaps w:val="0"/>
          <w:strike w:val="0"/>
          <w:color w:val="000000"/>
          <w:sz w:val="19.920000076293945"/>
          <w:szCs w:val="19.920000076293945"/>
          <w:highlight w:val="white"/>
          <w:u w:val="none"/>
          <w:vertAlign w:val="baseline"/>
        </w:rPr>
        <w:drawing>
          <wp:inline distB="19050" distT="19050" distL="19050" distR="19050">
            <wp:extent cx="3123209" cy="75374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123209" cy="75374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ffffff"/>
          <w:sz w:val="28.079999923706055"/>
          <w:szCs w:val="28.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8.079999923706055"/>
          <w:szCs w:val="28.079999923706055"/>
          <w:u w:val="none"/>
          <w:shd w:fill="auto" w:val="clear"/>
          <w:vertAlign w:val="baseline"/>
          <w:rtl w:val="0"/>
        </w:rPr>
        <w:t xml:space="preserve">POLICY &amp; PROCEDURE SERVICE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105712890625" w:line="240" w:lineRule="auto"/>
        <w:ind w:left="23.04000854492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Directory information shall include: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19482421875" w:line="229.90779876708984" w:lineRule="auto"/>
        <w:ind w:left="740.3999328613281" w:right="0.0537109375" w:hanging="363.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 participation in officially recognized activities and sports including weight,  height, and high school of graduation of athletic team members.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 w:line="229.90779876708984" w:lineRule="auto"/>
        <w:ind w:left="733.1999206542969" w:right="0.074462890625" w:hanging="356.159973144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Degrees and awards received by students, including honors, scholarship awards,  athletic awards, and Dean’s List recognition.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9704284668" w:lineRule="auto"/>
        <w:ind w:left="0" w:right="0.00244140625" w:firstLine="22.3199462890625"/>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NOTE: </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This is an extremely limited definition of “directory information.” Both state and</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federal laws permit the Board to adopt a definition of “directory information” that includes</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any of the following: name, address, telephone number, date and place of birth, major</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field of study, student participation in officially recognized activities and sports including</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weight, height and high school of graduation of athletic team members, degrees and</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awards received by students, including honors, scholarship awards, athletic awards and</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Dean’s List recognition, dates of attendance, and the most recent public or private school</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attended by the student. Such an expansive definition of “directory information” is no</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longer recommended out of concern for both the family privacy and the safety of students.</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A</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pplicable law does not give the District discretion to use a more expansive definition of</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directory information on a selective basis, e.g., in order to make such data available to</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p</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otential vendors.</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0849609375" w:line="240" w:lineRule="auto"/>
        <w:ind w:left="22.0799255371093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Revised 2/08, 4/15, 4/22, 4/23</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3.1201171875" w:line="230.63062191009521" w:lineRule="auto"/>
        <w:ind w:left="10.535888671875" w:right="21.068115234375" w:firstLine="8.36639404296875"/>
        <w:jc w:val="left"/>
        <w:rPr>
          <w:rFonts w:ascii="Arial" w:cs="Arial" w:eastAsia="Arial" w:hAnsi="Arial"/>
          <w:b w:val="0"/>
          <w:bCs w:val="0"/>
          <w:i w:val="1"/>
          <w:iCs w:val="1"/>
          <w:smallCaps w:val="0"/>
          <w:strike w:val="0"/>
          <w:color w:val="000000"/>
          <w:sz w:val="19.920000076293945"/>
          <w:szCs w:val="19.920000076293945"/>
          <w:highlight w:val="white"/>
          <w:u w:val="none"/>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highlight w:val="white"/>
          <w:u w:val="none"/>
          <w:vertAlign w:val="baseline"/>
          <w:rtl w:val="0"/>
        </w:rPr>
        <w:t xml:space="preserve">Disclaimer: </w:t>
      </w:r>
      <w:r w:rsidDel="00000000" w:rsidR="00000000" w:rsidRPr="00000000">
        <w:rPr>
          <w:rFonts w:ascii="Arial" w:cs="Arial" w:eastAsia="Arial" w:hAnsi="Arial"/>
          <w:b w:val="0"/>
          <w:bCs w:val="0"/>
          <w:i w:val="1"/>
          <w:iCs w:val="1"/>
          <w:smallCaps w:val="0"/>
          <w:strike w:val="0"/>
          <w:color w:val="000000"/>
          <w:sz w:val="19.920000076293945"/>
          <w:szCs w:val="19.920000076293945"/>
          <w:highlight w:val="white"/>
          <w:u w:val="none"/>
          <w:vertAlign w:val="baseline"/>
          <w:rtl w:val="0"/>
        </w:rPr>
        <w:t xml:space="preserve">This document is provided as a benefit to Community College League of California’s Policy </w:t>
      </w: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9.920000076293945"/>
          <w:szCs w:val="19.920000076293945"/>
          <w:highlight w:val="white"/>
          <w:u w:val="none"/>
          <w:vertAlign w:val="baseline"/>
          <w:rtl w:val="0"/>
        </w:rPr>
        <w:t xml:space="preserve">&amp; Procedure Service subscribers and cannot be shared outside of their district. The information </w:t>
      </w: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9.920000076293945"/>
          <w:szCs w:val="19.920000076293945"/>
          <w:highlight w:val="white"/>
          <w:u w:val="none"/>
          <w:vertAlign w:val="baseline"/>
          <w:rtl w:val="0"/>
        </w:rPr>
        <w:t xml:space="preserve">contained within is a sample only and is not designed to address each district’s specific and unique </w:t>
      </w: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9.920000076293945"/>
          <w:szCs w:val="19.920000076293945"/>
          <w:highlight w:val="white"/>
          <w:u w:val="none"/>
          <w:vertAlign w:val="baseline"/>
          <w:rtl w:val="0"/>
        </w:rPr>
        <w:t xml:space="preserve">issues, internal rules or practices, or governing documents that might be in place at each district. Districts </w:t>
      </w: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9.920000076293945"/>
          <w:szCs w:val="19.920000076293945"/>
          <w:highlight w:val="white"/>
          <w:u w:val="none"/>
          <w:vertAlign w:val="baseline"/>
          <w:rtl w:val="0"/>
        </w:rPr>
        <w:t xml:space="preserve">should always consult with local District legal counsel prior to implementation. </w:t>
      </w:r>
    </w:p>
    <w:sectPr>
      <w:pgSz w:h="15840" w:w="12240" w:orient="portrait"/>
      <w:pgMar w:bottom="763.1999969482422" w:top="72.998046875" w:left="1435.4400634765625" w:right="1373.20556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